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D6B" w:rsidRDefault="00312D6B"/>
    <w:p w:rsidR="00312D6B" w:rsidRDefault="00312D6B"/>
    <w:p w:rsidR="00312D6B" w:rsidRDefault="00312D6B"/>
    <w:p w:rsidR="00312D6B" w:rsidRDefault="00312D6B">
      <w:pPr>
        <w:rPr>
          <w:rFonts w:ascii="Arial" w:hAnsi="Arial" w:cs="Arial"/>
          <w:b/>
          <w:sz w:val="28"/>
        </w:rPr>
      </w:pPr>
    </w:p>
    <w:p w:rsidR="00312D6B" w:rsidRDefault="00312D6B">
      <w:pPr>
        <w:rPr>
          <w:rFonts w:ascii="Arial" w:hAnsi="Arial" w:cs="Arial"/>
          <w:b/>
          <w:sz w:val="28"/>
        </w:rPr>
      </w:pPr>
    </w:p>
    <w:p w:rsidR="00312D6B" w:rsidRDefault="00D52EE8">
      <w:pPr>
        <w:rPr>
          <w:rFonts w:ascii="Arial" w:hAnsi="Arial" w:cs="Arial"/>
          <w:b/>
          <w:sz w:val="28"/>
        </w:rPr>
      </w:pPr>
      <w:r>
        <w:rPr>
          <w:rFonts w:ascii="Arial" w:hAnsi="Arial" w:cs="Arial"/>
          <w:b/>
          <w:noProof/>
          <w:sz w:val="36"/>
          <w:lang w:eastAsia="en-GB"/>
        </w:rPr>
        <w:drawing>
          <wp:anchor distT="0" distB="0" distL="114300" distR="114300" simplePos="0" relativeHeight="251658240" behindDoc="1" locked="0" layoutInCell="1" allowOverlap="1" wp14:anchorId="726A4DA7" wp14:editId="7331F946">
            <wp:simplePos x="0" y="0"/>
            <wp:positionH relativeFrom="margin">
              <wp:align>center</wp:align>
            </wp:positionH>
            <wp:positionV relativeFrom="paragraph">
              <wp:posOffset>124770</wp:posOffset>
            </wp:positionV>
            <wp:extent cx="3384550" cy="3384550"/>
            <wp:effectExtent l="0" t="0" r="6350" b="6350"/>
            <wp:wrapTight wrapText="bothSides">
              <wp:wrapPolygon edited="0">
                <wp:start x="0" y="0"/>
                <wp:lineTo x="0" y="21519"/>
                <wp:lineTo x="21519" y="21519"/>
                <wp:lineTo x="2151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form Logos (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84550" cy="3384550"/>
                    </a:xfrm>
                    <a:prstGeom prst="rect">
                      <a:avLst/>
                    </a:prstGeom>
                  </pic:spPr>
                </pic:pic>
              </a:graphicData>
            </a:graphic>
          </wp:anchor>
        </w:drawing>
      </w:r>
    </w:p>
    <w:p w:rsidR="00312D6B" w:rsidRDefault="00312D6B">
      <w:pPr>
        <w:rPr>
          <w:rFonts w:ascii="Arial" w:hAnsi="Arial" w:cs="Arial"/>
          <w:b/>
          <w:sz w:val="28"/>
        </w:rPr>
      </w:pPr>
    </w:p>
    <w:p w:rsidR="00312D6B" w:rsidRDefault="00312D6B">
      <w:pPr>
        <w:rPr>
          <w:rFonts w:ascii="Arial" w:hAnsi="Arial" w:cs="Arial"/>
          <w:b/>
          <w:sz w:val="28"/>
        </w:rPr>
      </w:pPr>
    </w:p>
    <w:p w:rsidR="00312D6B" w:rsidRDefault="00312D6B">
      <w:pPr>
        <w:rPr>
          <w:rFonts w:ascii="Arial" w:hAnsi="Arial" w:cs="Arial"/>
          <w:b/>
          <w:sz w:val="28"/>
        </w:rPr>
      </w:pPr>
    </w:p>
    <w:p w:rsidR="00312D6B" w:rsidRDefault="00312D6B">
      <w:pPr>
        <w:rPr>
          <w:rFonts w:ascii="Arial" w:hAnsi="Arial" w:cs="Arial"/>
          <w:b/>
          <w:sz w:val="28"/>
        </w:rPr>
      </w:pPr>
    </w:p>
    <w:p w:rsidR="00312D6B" w:rsidRDefault="00312D6B" w:rsidP="00D52EE8">
      <w:pPr>
        <w:jc w:val="center"/>
        <w:rPr>
          <w:rFonts w:ascii="Arial" w:hAnsi="Arial" w:cs="Arial"/>
          <w:b/>
          <w:sz w:val="28"/>
        </w:rPr>
      </w:pPr>
    </w:p>
    <w:p w:rsidR="00312D6B" w:rsidRDefault="00312D6B">
      <w:pPr>
        <w:rPr>
          <w:rFonts w:ascii="Arial" w:hAnsi="Arial" w:cs="Arial"/>
          <w:b/>
          <w:sz w:val="28"/>
        </w:rPr>
      </w:pPr>
    </w:p>
    <w:p w:rsidR="00312D6B" w:rsidRDefault="00312D6B">
      <w:pPr>
        <w:rPr>
          <w:rFonts w:ascii="Arial" w:hAnsi="Arial" w:cs="Arial"/>
          <w:b/>
          <w:sz w:val="28"/>
        </w:rPr>
      </w:pPr>
    </w:p>
    <w:p w:rsidR="00D52EE8" w:rsidRDefault="00D52EE8" w:rsidP="00D52EE8">
      <w:pPr>
        <w:jc w:val="center"/>
        <w:rPr>
          <w:rFonts w:ascii="Arial" w:hAnsi="Arial" w:cs="Arial"/>
          <w:b/>
          <w:color w:val="002060"/>
          <w:sz w:val="32"/>
        </w:rPr>
      </w:pPr>
    </w:p>
    <w:p w:rsidR="00D52EE8" w:rsidRDefault="00D52EE8" w:rsidP="00D52EE8">
      <w:pPr>
        <w:jc w:val="center"/>
        <w:rPr>
          <w:rFonts w:ascii="Arial" w:hAnsi="Arial" w:cs="Arial"/>
          <w:b/>
          <w:color w:val="002060"/>
          <w:sz w:val="32"/>
        </w:rPr>
      </w:pPr>
    </w:p>
    <w:p w:rsidR="00D52EE8" w:rsidRDefault="00D52EE8" w:rsidP="00D52EE8">
      <w:pPr>
        <w:jc w:val="center"/>
        <w:rPr>
          <w:rFonts w:ascii="Arial" w:hAnsi="Arial" w:cs="Arial"/>
          <w:b/>
          <w:color w:val="002060"/>
          <w:sz w:val="32"/>
        </w:rPr>
      </w:pPr>
    </w:p>
    <w:p w:rsidR="00D52EE8" w:rsidRDefault="00D52EE8" w:rsidP="00D52EE8">
      <w:pPr>
        <w:jc w:val="center"/>
        <w:rPr>
          <w:rFonts w:ascii="Arial" w:hAnsi="Arial" w:cs="Arial"/>
          <w:b/>
          <w:color w:val="002060"/>
          <w:sz w:val="32"/>
        </w:rPr>
      </w:pPr>
    </w:p>
    <w:p w:rsidR="00D52EE8" w:rsidRDefault="00D52EE8" w:rsidP="00D52EE8">
      <w:pPr>
        <w:jc w:val="center"/>
        <w:rPr>
          <w:rFonts w:ascii="Arial" w:hAnsi="Arial" w:cs="Arial"/>
          <w:b/>
          <w:color w:val="002060"/>
          <w:sz w:val="32"/>
        </w:rPr>
      </w:pPr>
    </w:p>
    <w:p w:rsidR="00F16C68" w:rsidRPr="006A4530" w:rsidRDefault="00F16C68" w:rsidP="00D52EE8">
      <w:pPr>
        <w:jc w:val="center"/>
        <w:rPr>
          <w:rFonts w:ascii="Arial" w:hAnsi="Arial" w:cs="Arial"/>
          <w:b/>
          <w:color w:val="002060"/>
          <w:sz w:val="40"/>
        </w:rPr>
      </w:pPr>
      <w:r w:rsidRPr="006A4530">
        <w:rPr>
          <w:rFonts w:ascii="Arial" w:hAnsi="Arial" w:cs="Arial"/>
          <w:b/>
          <w:color w:val="002060"/>
          <w:sz w:val="40"/>
        </w:rPr>
        <w:t>Allergy and Anaphylaxis Risk Assessment</w:t>
      </w:r>
    </w:p>
    <w:p w:rsidR="00D52EE8" w:rsidRPr="006A4530" w:rsidRDefault="00D52EE8" w:rsidP="00D52EE8">
      <w:pPr>
        <w:jc w:val="center"/>
        <w:rPr>
          <w:rFonts w:ascii="Arial" w:hAnsi="Arial" w:cs="Arial"/>
          <w:b/>
          <w:color w:val="002060"/>
          <w:sz w:val="40"/>
        </w:rPr>
      </w:pPr>
      <w:r w:rsidRPr="006A4530">
        <w:rPr>
          <w:rFonts w:ascii="Arial" w:hAnsi="Arial" w:cs="Arial"/>
          <w:b/>
          <w:color w:val="002060"/>
          <w:sz w:val="40"/>
        </w:rPr>
        <w:t>2026-2027</w:t>
      </w:r>
    </w:p>
    <w:p w:rsidR="00312D6B" w:rsidRDefault="00312D6B">
      <w:pPr>
        <w:rPr>
          <w:rFonts w:ascii="Arial" w:hAnsi="Arial" w:cs="Arial"/>
          <w:b/>
          <w:sz w:val="28"/>
        </w:rPr>
      </w:pPr>
    </w:p>
    <w:p w:rsidR="00312D6B" w:rsidRDefault="00312D6B">
      <w:pPr>
        <w:rPr>
          <w:rFonts w:ascii="Arial" w:hAnsi="Arial" w:cs="Arial"/>
          <w:b/>
          <w:sz w:val="28"/>
        </w:rPr>
      </w:pPr>
    </w:p>
    <w:p w:rsidR="00D52EE8" w:rsidRDefault="00D52EE8" w:rsidP="00964C00">
      <w:pPr>
        <w:spacing w:before="100" w:beforeAutospacing="1" w:after="100" w:afterAutospacing="1" w:line="240" w:lineRule="auto"/>
        <w:outlineLvl w:val="1"/>
        <w:rPr>
          <w:rFonts w:ascii="Arial" w:eastAsia="Times New Roman" w:hAnsi="Arial" w:cs="Arial"/>
          <w:b/>
          <w:bCs/>
          <w:color w:val="002060"/>
          <w:sz w:val="24"/>
          <w:szCs w:val="36"/>
          <w:lang w:eastAsia="en-GB"/>
        </w:rPr>
      </w:pPr>
    </w:p>
    <w:p w:rsidR="00D52EE8" w:rsidRDefault="00D52EE8" w:rsidP="00964C00">
      <w:pPr>
        <w:spacing w:before="100" w:beforeAutospacing="1" w:after="100" w:afterAutospacing="1" w:line="240" w:lineRule="auto"/>
        <w:outlineLvl w:val="1"/>
        <w:rPr>
          <w:rFonts w:ascii="Arial" w:eastAsia="Times New Roman" w:hAnsi="Arial" w:cs="Arial"/>
          <w:b/>
          <w:bCs/>
          <w:color w:val="002060"/>
          <w:sz w:val="24"/>
          <w:szCs w:val="36"/>
          <w:lang w:eastAsia="en-GB"/>
        </w:rPr>
      </w:pPr>
    </w:p>
    <w:p w:rsidR="00D52EE8" w:rsidRDefault="00D52EE8" w:rsidP="00964C00">
      <w:pPr>
        <w:spacing w:before="100" w:beforeAutospacing="1" w:after="100" w:afterAutospacing="1" w:line="240" w:lineRule="auto"/>
        <w:outlineLvl w:val="1"/>
        <w:rPr>
          <w:rFonts w:ascii="Arial" w:eastAsia="Times New Roman" w:hAnsi="Arial" w:cs="Arial"/>
          <w:b/>
          <w:bCs/>
          <w:color w:val="002060"/>
          <w:sz w:val="24"/>
          <w:szCs w:val="36"/>
          <w:lang w:eastAsia="en-GB"/>
        </w:rPr>
      </w:pPr>
    </w:p>
    <w:p w:rsidR="00D52EE8" w:rsidRDefault="00D52EE8" w:rsidP="00964C00">
      <w:pPr>
        <w:spacing w:before="100" w:beforeAutospacing="1" w:after="100" w:afterAutospacing="1" w:line="240" w:lineRule="auto"/>
        <w:outlineLvl w:val="1"/>
        <w:rPr>
          <w:rFonts w:ascii="Arial" w:eastAsia="Times New Roman" w:hAnsi="Arial" w:cs="Arial"/>
          <w:b/>
          <w:bCs/>
          <w:color w:val="002060"/>
          <w:sz w:val="24"/>
          <w:szCs w:val="36"/>
          <w:lang w:eastAsia="en-GB"/>
        </w:rPr>
      </w:pPr>
    </w:p>
    <w:p w:rsidR="00964C00" w:rsidRPr="00964C00" w:rsidRDefault="00F16C68" w:rsidP="00964C00">
      <w:pPr>
        <w:spacing w:before="100" w:beforeAutospacing="1" w:after="100" w:afterAutospacing="1" w:line="240" w:lineRule="auto"/>
        <w:outlineLvl w:val="1"/>
        <w:rPr>
          <w:rFonts w:ascii="Arial" w:eastAsia="Times New Roman" w:hAnsi="Arial" w:cs="Arial"/>
          <w:b/>
          <w:bCs/>
          <w:color w:val="002060"/>
          <w:sz w:val="24"/>
          <w:szCs w:val="36"/>
          <w:lang w:eastAsia="en-GB"/>
        </w:rPr>
      </w:pPr>
      <w:r>
        <w:rPr>
          <w:rFonts w:ascii="Arial" w:eastAsia="Times New Roman" w:hAnsi="Arial" w:cs="Arial"/>
          <w:b/>
          <w:bCs/>
          <w:color w:val="002060"/>
          <w:sz w:val="24"/>
          <w:szCs w:val="36"/>
          <w:lang w:eastAsia="en-GB"/>
        </w:rPr>
        <w:lastRenderedPageBreak/>
        <w:t>Introduction</w:t>
      </w:r>
    </w:p>
    <w:p w:rsidR="00F16C68" w:rsidRPr="00F16C68" w:rsidRDefault="00F16C68" w:rsidP="00F16C68">
      <w:pPr>
        <w:spacing w:before="100" w:beforeAutospacing="1" w:after="100" w:afterAutospacing="1" w:line="240" w:lineRule="auto"/>
        <w:rPr>
          <w:rFonts w:ascii="Arial" w:eastAsia="Times New Roman" w:hAnsi="Arial" w:cs="Arial"/>
          <w:sz w:val="20"/>
          <w:szCs w:val="24"/>
          <w:lang w:eastAsia="en-GB"/>
        </w:rPr>
      </w:pPr>
      <w:r w:rsidRPr="00F16C68">
        <w:rPr>
          <w:rFonts w:ascii="Arial" w:eastAsia="Times New Roman" w:hAnsi="Arial" w:cs="Arial"/>
          <w:sz w:val="20"/>
          <w:szCs w:val="24"/>
          <w:lang w:eastAsia="en-GB"/>
        </w:rPr>
        <w:t xml:space="preserve">This is the school’s general risk assessment for the management of </w:t>
      </w:r>
      <w:r w:rsidRPr="00F16C68">
        <w:rPr>
          <w:rFonts w:ascii="Arial" w:eastAsia="Times New Roman" w:hAnsi="Arial" w:cs="Arial"/>
          <w:b/>
          <w:bCs/>
          <w:sz w:val="20"/>
          <w:szCs w:val="24"/>
          <w:lang w:eastAsia="en-GB"/>
        </w:rPr>
        <w:t>allergy and anaphylaxis</w:t>
      </w:r>
      <w:r w:rsidRPr="00F16C68">
        <w:rPr>
          <w:rFonts w:ascii="Arial" w:eastAsia="Times New Roman" w:hAnsi="Arial" w:cs="Arial"/>
          <w:sz w:val="20"/>
          <w:szCs w:val="24"/>
          <w:lang w:eastAsia="en-GB"/>
        </w:rPr>
        <w:t>. It identifies foreseeable allergy-related hazards across the school and establishes the control measures that must be followed to reduce the risk of exposure, recognise allergic reactions and ensure an effective emergency response.</w:t>
      </w:r>
    </w:p>
    <w:p w:rsidR="00F16C68" w:rsidRPr="00F16C68" w:rsidRDefault="00F16C68" w:rsidP="00F16C68">
      <w:pPr>
        <w:spacing w:before="100" w:beforeAutospacing="1" w:after="100" w:afterAutospacing="1" w:line="240" w:lineRule="auto"/>
        <w:rPr>
          <w:rFonts w:ascii="Arial" w:eastAsia="Times New Roman" w:hAnsi="Arial" w:cs="Arial"/>
          <w:sz w:val="20"/>
          <w:szCs w:val="24"/>
          <w:lang w:eastAsia="en-GB"/>
        </w:rPr>
      </w:pPr>
      <w:r w:rsidRPr="00F16C68">
        <w:rPr>
          <w:rFonts w:ascii="Arial" w:eastAsia="Times New Roman" w:hAnsi="Arial" w:cs="Arial"/>
          <w:sz w:val="20"/>
          <w:szCs w:val="24"/>
          <w:lang w:eastAsia="en-GB"/>
        </w:rPr>
        <w:t>The risk assessment applies across the school day and to activities organised by the school, including lessons, meals and snacks, breakfast and after-school provision, playtimes, clubs, celebrations, curriculum activities, educational visits and other off-site activities.</w:t>
      </w:r>
    </w:p>
    <w:p w:rsidR="00F16C68" w:rsidRPr="00F16C68" w:rsidRDefault="00F16C68" w:rsidP="00F16C68">
      <w:pPr>
        <w:spacing w:before="100" w:beforeAutospacing="1" w:after="100" w:afterAutospacing="1" w:line="240" w:lineRule="auto"/>
        <w:rPr>
          <w:rFonts w:ascii="Arial" w:eastAsia="Times New Roman" w:hAnsi="Arial" w:cs="Arial"/>
          <w:sz w:val="20"/>
          <w:szCs w:val="24"/>
          <w:lang w:eastAsia="en-GB"/>
        </w:rPr>
      </w:pPr>
      <w:r w:rsidRPr="00F16C68">
        <w:rPr>
          <w:rFonts w:ascii="Arial" w:eastAsia="Times New Roman" w:hAnsi="Arial" w:cs="Arial"/>
          <w:sz w:val="20"/>
          <w:szCs w:val="24"/>
          <w:lang w:eastAsia="en-GB"/>
        </w:rPr>
        <w:t>The school recognises that allergic reactions can be serious and, in some circumstances, life-threatening. Allergy risks will therefore be managed through:</w:t>
      </w:r>
    </w:p>
    <w:p w:rsidR="00F16C68" w:rsidRPr="00F16C68" w:rsidRDefault="00F16C68" w:rsidP="00F16C68">
      <w:pPr>
        <w:numPr>
          <w:ilvl w:val="0"/>
          <w:numId w:val="2"/>
        </w:numPr>
        <w:spacing w:before="100" w:beforeAutospacing="1" w:after="100" w:afterAutospacing="1" w:line="240" w:lineRule="auto"/>
        <w:rPr>
          <w:rFonts w:ascii="Arial" w:eastAsia="Times New Roman" w:hAnsi="Arial" w:cs="Arial"/>
          <w:sz w:val="20"/>
          <w:szCs w:val="24"/>
          <w:lang w:eastAsia="en-GB"/>
        </w:rPr>
      </w:pPr>
      <w:r w:rsidRPr="00F16C68">
        <w:rPr>
          <w:rFonts w:ascii="Arial" w:eastAsia="Times New Roman" w:hAnsi="Arial" w:cs="Arial"/>
          <w:sz w:val="20"/>
          <w:szCs w:val="24"/>
          <w:lang w:eastAsia="en-GB"/>
        </w:rPr>
        <w:t xml:space="preserve">accurate and accessible information; </w:t>
      </w:r>
    </w:p>
    <w:p w:rsidR="00F16C68" w:rsidRPr="00F16C68" w:rsidRDefault="00F16C68" w:rsidP="00F16C68">
      <w:pPr>
        <w:numPr>
          <w:ilvl w:val="0"/>
          <w:numId w:val="2"/>
        </w:numPr>
        <w:spacing w:before="100" w:beforeAutospacing="1" w:after="100" w:afterAutospacing="1" w:line="240" w:lineRule="auto"/>
        <w:rPr>
          <w:rFonts w:ascii="Arial" w:eastAsia="Times New Roman" w:hAnsi="Arial" w:cs="Arial"/>
          <w:sz w:val="20"/>
          <w:szCs w:val="24"/>
          <w:lang w:eastAsia="en-GB"/>
        </w:rPr>
      </w:pPr>
      <w:r w:rsidRPr="00F16C68">
        <w:rPr>
          <w:rFonts w:ascii="Arial" w:eastAsia="Times New Roman" w:hAnsi="Arial" w:cs="Arial"/>
          <w:sz w:val="20"/>
          <w:szCs w:val="24"/>
          <w:lang w:eastAsia="en-GB"/>
        </w:rPr>
        <w:t xml:space="preserve">appropriate individual planning; </w:t>
      </w:r>
    </w:p>
    <w:p w:rsidR="00F16C68" w:rsidRPr="00F16C68" w:rsidRDefault="00F16C68" w:rsidP="00F16C68">
      <w:pPr>
        <w:numPr>
          <w:ilvl w:val="0"/>
          <w:numId w:val="2"/>
        </w:numPr>
        <w:spacing w:before="100" w:beforeAutospacing="1" w:after="100" w:afterAutospacing="1" w:line="240" w:lineRule="auto"/>
        <w:rPr>
          <w:rFonts w:ascii="Arial" w:eastAsia="Times New Roman" w:hAnsi="Arial" w:cs="Arial"/>
          <w:sz w:val="20"/>
          <w:szCs w:val="24"/>
          <w:lang w:eastAsia="en-GB"/>
        </w:rPr>
      </w:pPr>
      <w:r w:rsidRPr="00F16C68">
        <w:rPr>
          <w:rFonts w:ascii="Arial" w:eastAsia="Times New Roman" w:hAnsi="Arial" w:cs="Arial"/>
          <w:sz w:val="20"/>
          <w:szCs w:val="24"/>
          <w:lang w:eastAsia="en-GB"/>
        </w:rPr>
        <w:t xml:space="preserve">proportionate measures to reduce exposure to known allergens; </w:t>
      </w:r>
    </w:p>
    <w:p w:rsidR="00F16C68" w:rsidRPr="00F16C68" w:rsidRDefault="00F16C68" w:rsidP="00F16C68">
      <w:pPr>
        <w:numPr>
          <w:ilvl w:val="0"/>
          <w:numId w:val="2"/>
        </w:numPr>
        <w:spacing w:before="100" w:beforeAutospacing="1" w:after="100" w:afterAutospacing="1" w:line="240" w:lineRule="auto"/>
        <w:rPr>
          <w:rFonts w:ascii="Arial" w:eastAsia="Times New Roman" w:hAnsi="Arial" w:cs="Arial"/>
          <w:sz w:val="20"/>
          <w:szCs w:val="24"/>
          <w:lang w:eastAsia="en-GB"/>
        </w:rPr>
      </w:pPr>
      <w:r w:rsidRPr="00F16C68">
        <w:rPr>
          <w:rFonts w:ascii="Arial" w:eastAsia="Times New Roman" w:hAnsi="Arial" w:cs="Arial"/>
          <w:sz w:val="20"/>
          <w:szCs w:val="24"/>
          <w:lang w:eastAsia="en-GB"/>
        </w:rPr>
        <w:t xml:space="preserve">safe food-handling and catering arrangements; </w:t>
      </w:r>
    </w:p>
    <w:p w:rsidR="00F16C68" w:rsidRPr="00F16C68" w:rsidRDefault="00F16C68" w:rsidP="00F16C68">
      <w:pPr>
        <w:numPr>
          <w:ilvl w:val="0"/>
          <w:numId w:val="2"/>
        </w:numPr>
        <w:spacing w:before="100" w:beforeAutospacing="1" w:after="100" w:afterAutospacing="1" w:line="240" w:lineRule="auto"/>
        <w:rPr>
          <w:rFonts w:ascii="Arial" w:eastAsia="Times New Roman" w:hAnsi="Arial" w:cs="Arial"/>
          <w:sz w:val="20"/>
          <w:szCs w:val="24"/>
          <w:lang w:eastAsia="en-GB"/>
        </w:rPr>
      </w:pPr>
      <w:r w:rsidRPr="00F16C68">
        <w:rPr>
          <w:rFonts w:ascii="Arial" w:eastAsia="Times New Roman" w:hAnsi="Arial" w:cs="Arial"/>
          <w:sz w:val="20"/>
          <w:szCs w:val="24"/>
          <w:lang w:eastAsia="en-GB"/>
        </w:rPr>
        <w:t xml:space="preserve">staff awareness and training; </w:t>
      </w:r>
    </w:p>
    <w:p w:rsidR="00F16C68" w:rsidRPr="00F16C68" w:rsidRDefault="00F16C68" w:rsidP="00F16C68">
      <w:pPr>
        <w:numPr>
          <w:ilvl w:val="0"/>
          <w:numId w:val="2"/>
        </w:numPr>
        <w:spacing w:before="100" w:beforeAutospacing="1" w:after="100" w:afterAutospacing="1" w:line="240" w:lineRule="auto"/>
        <w:rPr>
          <w:rFonts w:ascii="Arial" w:eastAsia="Times New Roman" w:hAnsi="Arial" w:cs="Arial"/>
          <w:sz w:val="20"/>
          <w:szCs w:val="24"/>
          <w:lang w:eastAsia="en-GB"/>
        </w:rPr>
      </w:pPr>
      <w:r w:rsidRPr="00F16C68">
        <w:rPr>
          <w:rFonts w:ascii="Arial" w:eastAsia="Times New Roman" w:hAnsi="Arial" w:cs="Arial"/>
          <w:sz w:val="20"/>
          <w:szCs w:val="24"/>
          <w:lang w:eastAsia="en-GB"/>
        </w:rPr>
        <w:t xml:space="preserve">readily accessible emergency medication; </w:t>
      </w:r>
    </w:p>
    <w:p w:rsidR="00F16C68" w:rsidRPr="00F16C68" w:rsidRDefault="00F16C68" w:rsidP="00F16C68">
      <w:pPr>
        <w:numPr>
          <w:ilvl w:val="0"/>
          <w:numId w:val="2"/>
        </w:numPr>
        <w:spacing w:before="100" w:beforeAutospacing="1" w:after="100" w:afterAutospacing="1" w:line="240" w:lineRule="auto"/>
        <w:rPr>
          <w:rFonts w:ascii="Arial" w:eastAsia="Times New Roman" w:hAnsi="Arial" w:cs="Arial"/>
          <w:sz w:val="20"/>
          <w:szCs w:val="24"/>
          <w:lang w:eastAsia="en-GB"/>
        </w:rPr>
      </w:pPr>
      <w:r w:rsidRPr="00F16C68">
        <w:rPr>
          <w:rFonts w:ascii="Arial" w:eastAsia="Times New Roman" w:hAnsi="Arial" w:cs="Arial"/>
          <w:sz w:val="20"/>
          <w:szCs w:val="24"/>
          <w:lang w:eastAsia="en-GB"/>
        </w:rPr>
        <w:t xml:space="preserve">effective emergency procedures; </w:t>
      </w:r>
    </w:p>
    <w:p w:rsidR="00F16C68" w:rsidRPr="00F16C68" w:rsidRDefault="00F16C68" w:rsidP="00F16C68">
      <w:pPr>
        <w:numPr>
          <w:ilvl w:val="0"/>
          <w:numId w:val="2"/>
        </w:numPr>
        <w:spacing w:before="100" w:beforeAutospacing="1" w:after="100" w:afterAutospacing="1" w:line="240" w:lineRule="auto"/>
        <w:rPr>
          <w:rFonts w:ascii="Arial" w:eastAsia="Times New Roman" w:hAnsi="Arial" w:cs="Arial"/>
          <w:sz w:val="20"/>
          <w:szCs w:val="24"/>
          <w:lang w:eastAsia="en-GB"/>
        </w:rPr>
      </w:pPr>
      <w:r w:rsidRPr="00F16C68">
        <w:rPr>
          <w:rFonts w:ascii="Arial" w:eastAsia="Times New Roman" w:hAnsi="Arial" w:cs="Arial"/>
          <w:sz w:val="20"/>
          <w:szCs w:val="24"/>
          <w:lang w:eastAsia="en-GB"/>
        </w:rPr>
        <w:t xml:space="preserve">inclusion, reasonable adjustments and pupil wellbeing; and </w:t>
      </w:r>
    </w:p>
    <w:p w:rsidR="00F16C68" w:rsidRPr="00F16C68" w:rsidRDefault="00F16C68" w:rsidP="00F16C68">
      <w:pPr>
        <w:numPr>
          <w:ilvl w:val="0"/>
          <w:numId w:val="2"/>
        </w:numPr>
        <w:spacing w:before="100" w:beforeAutospacing="1" w:after="100" w:afterAutospacing="1" w:line="240" w:lineRule="auto"/>
        <w:rPr>
          <w:rFonts w:ascii="Arial" w:eastAsia="Times New Roman" w:hAnsi="Arial" w:cs="Arial"/>
          <w:sz w:val="20"/>
          <w:szCs w:val="24"/>
          <w:lang w:eastAsia="en-GB"/>
        </w:rPr>
      </w:pPr>
      <w:r w:rsidRPr="00F16C68">
        <w:rPr>
          <w:rFonts w:ascii="Arial" w:eastAsia="Times New Roman" w:hAnsi="Arial" w:cs="Arial"/>
          <w:sz w:val="20"/>
          <w:szCs w:val="24"/>
          <w:lang w:eastAsia="en-GB"/>
        </w:rPr>
        <w:t xml:space="preserve">recording and learning from incidents and near misses. </w:t>
      </w:r>
    </w:p>
    <w:p w:rsidR="00F16C68" w:rsidRDefault="00F16C68" w:rsidP="00F16C68">
      <w:pPr>
        <w:spacing w:before="100" w:beforeAutospacing="1" w:after="100" w:afterAutospacing="1" w:line="240" w:lineRule="auto"/>
        <w:rPr>
          <w:rFonts w:ascii="Arial" w:eastAsia="Times New Roman" w:hAnsi="Arial" w:cs="Arial"/>
          <w:sz w:val="20"/>
          <w:szCs w:val="24"/>
          <w:lang w:eastAsia="en-GB"/>
        </w:rPr>
      </w:pPr>
      <w:r w:rsidRPr="00F16C68">
        <w:rPr>
          <w:rFonts w:ascii="Arial" w:eastAsia="Times New Roman" w:hAnsi="Arial" w:cs="Arial"/>
          <w:sz w:val="20"/>
          <w:szCs w:val="24"/>
          <w:lang w:eastAsia="en-GB"/>
        </w:rPr>
        <w:t xml:space="preserve">The </w:t>
      </w:r>
      <w:proofErr w:type="spellStart"/>
      <w:r w:rsidRPr="00F16C68">
        <w:rPr>
          <w:rFonts w:ascii="Arial" w:eastAsia="Times New Roman" w:hAnsi="Arial" w:cs="Arial"/>
          <w:sz w:val="20"/>
          <w:szCs w:val="24"/>
          <w:lang w:eastAsia="en-GB"/>
        </w:rPr>
        <w:t>DfE</w:t>
      </w:r>
      <w:proofErr w:type="spellEnd"/>
      <w:r w:rsidRPr="00F16C68">
        <w:rPr>
          <w:rFonts w:ascii="Arial" w:eastAsia="Times New Roman" w:hAnsi="Arial" w:cs="Arial"/>
          <w:sz w:val="20"/>
          <w:szCs w:val="24"/>
          <w:lang w:eastAsia="en-GB"/>
        </w:rPr>
        <w:t xml:space="preserve"> statutory guidance requires schools to take appropriate steps to identify, assess and manage allergy-related risks and to respond appropriately to allergic reactions. It specifically expects schools to reduce exposure to known allergens, train staff, ensure access to emergency medication, support participation in trips and activities and maintain robust emergency arrangements. </w:t>
      </w:r>
    </w:p>
    <w:p w:rsidR="00F16C68" w:rsidRPr="00F16C68" w:rsidRDefault="00F16C68" w:rsidP="00F16C68">
      <w:pPr>
        <w:pStyle w:val="Heading3"/>
        <w:rPr>
          <w:rFonts w:ascii="Arial" w:hAnsi="Arial" w:cs="Arial"/>
          <w:sz w:val="22"/>
          <w:szCs w:val="20"/>
        </w:rPr>
      </w:pPr>
      <w:r w:rsidRPr="00F16C68">
        <w:rPr>
          <w:rFonts w:ascii="Arial" w:hAnsi="Arial" w:cs="Arial"/>
          <w:sz w:val="22"/>
          <w:szCs w:val="20"/>
        </w:rPr>
        <w:t>Individual arrangements</w:t>
      </w:r>
    </w:p>
    <w:p w:rsidR="00F16C68" w:rsidRPr="00F16C68" w:rsidRDefault="00F16C68" w:rsidP="00F16C68">
      <w:pPr>
        <w:pStyle w:val="NormalWeb"/>
        <w:rPr>
          <w:rFonts w:ascii="Arial" w:hAnsi="Arial" w:cs="Arial"/>
          <w:sz w:val="20"/>
          <w:szCs w:val="20"/>
        </w:rPr>
      </w:pPr>
      <w:r w:rsidRPr="00F16C68">
        <w:rPr>
          <w:rFonts w:ascii="Arial" w:hAnsi="Arial" w:cs="Arial"/>
          <w:sz w:val="20"/>
          <w:szCs w:val="20"/>
        </w:rPr>
        <w:t xml:space="preserve">This is a </w:t>
      </w:r>
      <w:r w:rsidRPr="00F16C68">
        <w:rPr>
          <w:rStyle w:val="Strong"/>
          <w:rFonts w:ascii="Arial" w:hAnsi="Arial" w:cs="Arial"/>
          <w:sz w:val="20"/>
          <w:szCs w:val="20"/>
        </w:rPr>
        <w:t>whole-school risk assessment and is not an individual clinical assessment</w:t>
      </w:r>
      <w:r w:rsidRPr="00F16C68">
        <w:rPr>
          <w:rFonts w:ascii="Arial" w:hAnsi="Arial" w:cs="Arial"/>
          <w:sz w:val="20"/>
          <w:szCs w:val="20"/>
        </w:rPr>
        <w:t>.</w:t>
      </w:r>
    </w:p>
    <w:p w:rsidR="00F16C68" w:rsidRPr="00F16C68" w:rsidRDefault="00F16C68" w:rsidP="00F16C68">
      <w:pPr>
        <w:pStyle w:val="NormalWeb"/>
        <w:rPr>
          <w:rFonts w:ascii="Arial" w:hAnsi="Arial" w:cs="Arial"/>
          <w:sz w:val="20"/>
          <w:szCs w:val="20"/>
        </w:rPr>
      </w:pPr>
      <w:r w:rsidRPr="00F16C68">
        <w:rPr>
          <w:rFonts w:ascii="Arial" w:hAnsi="Arial" w:cs="Arial"/>
          <w:sz w:val="20"/>
          <w:szCs w:val="20"/>
        </w:rPr>
        <w:t xml:space="preserve">A pupil whose allergy requires specific support or adjustments will also have an </w:t>
      </w:r>
      <w:r w:rsidRPr="00F16C68">
        <w:rPr>
          <w:rStyle w:val="Strong"/>
          <w:rFonts w:ascii="Arial" w:hAnsi="Arial" w:cs="Arial"/>
          <w:sz w:val="20"/>
          <w:szCs w:val="20"/>
        </w:rPr>
        <w:t>Individual Allergy Care Plan</w:t>
      </w:r>
      <w:r w:rsidRPr="00F16C68">
        <w:rPr>
          <w:rFonts w:ascii="Arial" w:hAnsi="Arial" w:cs="Arial"/>
          <w:sz w:val="20"/>
          <w:szCs w:val="20"/>
        </w:rPr>
        <w:t>. This will record the pupil's particular allergens and risks, individual preventative measures, reasonable adjustments, medication arrangements, communication needs, wellbeing considerations and any additional controls required.</w:t>
      </w:r>
    </w:p>
    <w:p w:rsidR="00F16C68" w:rsidRPr="00F16C68" w:rsidRDefault="00F16C68" w:rsidP="00F16C68">
      <w:pPr>
        <w:pStyle w:val="NormalWeb"/>
        <w:rPr>
          <w:rFonts w:ascii="Arial" w:hAnsi="Arial" w:cs="Arial"/>
          <w:sz w:val="20"/>
          <w:szCs w:val="20"/>
        </w:rPr>
      </w:pPr>
      <w:r w:rsidRPr="00F16C68">
        <w:rPr>
          <w:rFonts w:ascii="Arial" w:hAnsi="Arial" w:cs="Arial"/>
          <w:sz w:val="20"/>
          <w:szCs w:val="20"/>
        </w:rPr>
        <w:t xml:space="preserve">Where a healthcare professional has issued an </w:t>
      </w:r>
      <w:r w:rsidRPr="00F16C68">
        <w:rPr>
          <w:rStyle w:val="Strong"/>
          <w:rFonts w:ascii="Arial" w:hAnsi="Arial" w:cs="Arial"/>
          <w:sz w:val="20"/>
          <w:szCs w:val="20"/>
        </w:rPr>
        <w:t>Allergy Action Plan</w:t>
      </w:r>
      <w:r w:rsidRPr="00F16C68">
        <w:rPr>
          <w:rFonts w:ascii="Arial" w:hAnsi="Arial" w:cs="Arial"/>
          <w:sz w:val="20"/>
          <w:szCs w:val="20"/>
        </w:rPr>
        <w:t>, this will be attached to and followed alongside the pupil's Individual Allergy Care Plan.</w:t>
      </w:r>
    </w:p>
    <w:p w:rsidR="00F16C68" w:rsidRPr="00F16C68" w:rsidRDefault="00F16C68" w:rsidP="00F16C68">
      <w:pPr>
        <w:pStyle w:val="NormalWeb"/>
        <w:rPr>
          <w:rFonts w:ascii="Arial" w:hAnsi="Arial" w:cs="Arial"/>
          <w:sz w:val="20"/>
          <w:szCs w:val="20"/>
        </w:rPr>
      </w:pPr>
      <w:r w:rsidRPr="00F16C68">
        <w:rPr>
          <w:rFonts w:ascii="Arial" w:hAnsi="Arial" w:cs="Arial"/>
          <w:sz w:val="20"/>
          <w:szCs w:val="20"/>
        </w:rPr>
        <w:t>Any individual risk which is not adequately controlled by this general risk assessment must be identified and addressed through the pupil's Individual Allergy Care Plan and, where appropriate, an additional activity-specific risk assessment.</w:t>
      </w:r>
    </w:p>
    <w:p w:rsidR="00F16C68" w:rsidRPr="00F16C68" w:rsidRDefault="00F16C68" w:rsidP="00F16C68">
      <w:pPr>
        <w:pStyle w:val="NormalWeb"/>
        <w:rPr>
          <w:rFonts w:ascii="Arial" w:hAnsi="Arial" w:cs="Arial"/>
          <w:sz w:val="20"/>
          <w:szCs w:val="20"/>
        </w:rPr>
      </w:pPr>
      <w:r w:rsidRPr="00F16C68">
        <w:rPr>
          <w:rStyle w:val="Strong"/>
          <w:rFonts w:ascii="Arial" w:hAnsi="Arial" w:cs="Arial"/>
          <w:sz w:val="20"/>
          <w:szCs w:val="20"/>
        </w:rPr>
        <w:t>Educational visits require particular consideration:</w:t>
      </w:r>
      <w:r w:rsidRPr="00F16C68">
        <w:rPr>
          <w:rFonts w:ascii="Arial" w:hAnsi="Arial" w:cs="Arial"/>
          <w:sz w:val="20"/>
          <w:szCs w:val="20"/>
        </w:rPr>
        <w:t xml:space="preserve"> </w:t>
      </w:r>
      <w:proofErr w:type="gramStart"/>
      <w:r w:rsidRPr="00F16C68">
        <w:rPr>
          <w:rFonts w:ascii="Arial" w:hAnsi="Arial" w:cs="Arial"/>
          <w:sz w:val="20"/>
          <w:szCs w:val="20"/>
        </w:rPr>
        <w:t>the</w:t>
      </w:r>
      <w:proofErr w:type="gramEnd"/>
      <w:r w:rsidRPr="00F16C68">
        <w:rPr>
          <w:rFonts w:ascii="Arial" w:hAnsi="Arial" w:cs="Arial"/>
          <w:sz w:val="20"/>
          <w:szCs w:val="20"/>
        </w:rPr>
        <w:t xml:space="preserve"> </w:t>
      </w:r>
      <w:proofErr w:type="spellStart"/>
      <w:r w:rsidRPr="00F16C68">
        <w:rPr>
          <w:rFonts w:ascii="Arial" w:hAnsi="Arial" w:cs="Arial"/>
          <w:sz w:val="20"/>
          <w:szCs w:val="20"/>
        </w:rPr>
        <w:t>DfE</w:t>
      </w:r>
      <w:proofErr w:type="spellEnd"/>
      <w:r w:rsidRPr="00F16C68">
        <w:rPr>
          <w:rFonts w:ascii="Arial" w:hAnsi="Arial" w:cs="Arial"/>
          <w:sz w:val="20"/>
          <w:szCs w:val="20"/>
        </w:rPr>
        <w:t xml:space="preserve"> guidance states that a specific risk assessment should be undertaken for a pupil at risk of anaphylaxis participating in an off-site visit. </w:t>
      </w:r>
    </w:p>
    <w:p w:rsidR="00F16C68" w:rsidRPr="00F16C68" w:rsidRDefault="00F16C68" w:rsidP="00F16C68">
      <w:pPr>
        <w:pStyle w:val="NormalWeb"/>
        <w:rPr>
          <w:rFonts w:ascii="Arial" w:hAnsi="Arial" w:cs="Arial"/>
          <w:sz w:val="20"/>
          <w:szCs w:val="20"/>
        </w:rPr>
      </w:pPr>
      <w:r w:rsidRPr="00F16C68">
        <w:rPr>
          <w:rFonts w:ascii="Arial" w:hAnsi="Arial" w:cs="Arial"/>
          <w:sz w:val="20"/>
          <w:szCs w:val="20"/>
        </w:rPr>
        <w:t xml:space="preserve">This risk assessment will be reviewed </w:t>
      </w:r>
      <w:r w:rsidRPr="00F16C68">
        <w:rPr>
          <w:rStyle w:val="Strong"/>
          <w:rFonts w:ascii="Arial" w:hAnsi="Arial" w:cs="Arial"/>
          <w:sz w:val="20"/>
          <w:szCs w:val="20"/>
        </w:rPr>
        <w:t>at least annually</w:t>
      </w:r>
      <w:r w:rsidRPr="00F16C68">
        <w:rPr>
          <w:rFonts w:ascii="Arial" w:hAnsi="Arial" w:cs="Arial"/>
          <w:sz w:val="20"/>
          <w:szCs w:val="20"/>
        </w:rPr>
        <w:t xml:space="preserve"> and sooner following any serious allergy incident, significant near miss, significant change in guidance, premises, catering arrangements or school procedures, or where existing controls are found not to be effective. This also reflects the MCC model policy's requirement for annual review and review following significant incidents or near misses.</w:t>
      </w:r>
    </w:p>
    <w:p w:rsidR="00F16C68" w:rsidRPr="00F16C68" w:rsidRDefault="00F16C68" w:rsidP="00F16C68">
      <w:pPr>
        <w:spacing w:before="100" w:beforeAutospacing="1" w:after="100" w:afterAutospacing="1" w:line="240" w:lineRule="auto"/>
        <w:rPr>
          <w:rFonts w:ascii="Arial" w:eastAsia="Times New Roman" w:hAnsi="Arial" w:cs="Arial"/>
          <w:sz w:val="20"/>
          <w:szCs w:val="24"/>
          <w:lang w:eastAsia="en-GB"/>
        </w:rPr>
      </w:pPr>
    </w:p>
    <w:p w:rsidR="00F16C68" w:rsidRDefault="00F16C68" w:rsidP="00964C00">
      <w:pPr>
        <w:spacing w:before="100" w:beforeAutospacing="1" w:after="100" w:afterAutospacing="1" w:line="240" w:lineRule="auto"/>
        <w:outlineLvl w:val="2"/>
        <w:rPr>
          <w:rFonts w:ascii="Arial" w:eastAsia="Times New Roman" w:hAnsi="Arial" w:cs="Arial"/>
          <w:b/>
          <w:bCs/>
          <w:color w:val="002060"/>
          <w:sz w:val="21"/>
          <w:szCs w:val="21"/>
          <w:lang w:eastAsia="en-GB"/>
        </w:rPr>
      </w:pPr>
    </w:p>
    <w:p w:rsidR="00964C00" w:rsidRPr="006A4530" w:rsidRDefault="00964C00" w:rsidP="00964C00">
      <w:pPr>
        <w:spacing w:before="100" w:beforeAutospacing="1" w:after="100" w:afterAutospacing="1" w:line="240" w:lineRule="auto"/>
        <w:outlineLvl w:val="2"/>
        <w:rPr>
          <w:rFonts w:ascii="Arial" w:eastAsia="Times New Roman" w:hAnsi="Arial" w:cs="Arial"/>
          <w:b/>
          <w:bCs/>
          <w:color w:val="002060"/>
          <w:sz w:val="24"/>
          <w:szCs w:val="21"/>
          <w:lang w:eastAsia="en-GB"/>
        </w:rPr>
      </w:pPr>
      <w:r w:rsidRPr="006A4530">
        <w:rPr>
          <w:rFonts w:ascii="Arial" w:eastAsia="Times New Roman" w:hAnsi="Arial" w:cs="Arial"/>
          <w:b/>
          <w:bCs/>
          <w:color w:val="002060"/>
          <w:sz w:val="24"/>
          <w:szCs w:val="21"/>
          <w:lang w:eastAsia="en-GB"/>
        </w:rPr>
        <w:lastRenderedPageBreak/>
        <w:t>Calculating the risk rating</w:t>
      </w:r>
    </w:p>
    <w:p w:rsidR="00964C00" w:rsidRPr="00142AC8" w:rsidRDefault="00964C00" w:rsidP="00964C00">
      <w:pPr>
        <w:spacing w:beforeAutospacing="1" w:after="100" w:afterAutospacing="1" w:line="240" w:lineRule="auto"/>
        <w:rPr>
          <w:rFonts w:ascii="Arial" w:eastAsia="Times New Roman" w:hAnsi="Arial" w:cs="Arial"/>
          <w:b/>
          <w:bCs/>
          <w:sz w:val="21"/>
          <w:szCs w:val="21"/>
          <w:lang w:eastAsia="en-GB"/>
        </w:rPr>
      </w:pPr>
      <w:r w:rsidRPr="00142AC8">
        <w:rPr>
          <w:rFonts w:ascii="Arial" w:eastAsia="Times New Roman" w:hAnsi="Arial" w:cs="Arial"/>
          <w:b/>
          <w:bCs/>
          <w:sz w:val="21"/>
          <w:szCs w:val="21"/>
          <w:lang w:eastAsia="en-GB"/>
        </w:rPr>
        <w:t>Likelihood × Impact = Risk Rating</w:t>
      </w:r>
    </w:p>
    <w:tbl>
      <w:tblPr>
        <w:tblStyle w:val="TableGrid"/>
        <w:tblW w:w="9067" w:type="dxa"/>
        <w:tblLook w:val="04A0" w:firstRow="1" w:lastRow="0" w:firstColumn="1" w:lastColumn="0" w:noHBand="0" w:noVBand="1"/>
      </w:tblPr>
      <w:tblGrid>
        <w:gridCol w:w="1129"/>
        <w:gridCol w:w="1701"/>
        <w:gridCol w:w="6237"/>
      </w:tblGrid>
      <w:tr w:rsidR="00F16C68" w:rsidTr="00F16C68">
        <w:trPr>
          <w:trHeight w:val="567"/>
        </w:trPr>
        <w:tc>
          <w:tcPr>
            <w:tcW w:w="1129" w:type="dxa"/>
            <w:shd w:val="clear" w:color="auto" w:fill="D9D9D9" w:themeFill="background1" w:themeFillShade="D9"/>
            <w:vAlign w:val="center"/>
          </w:tcPr>
          <w:p w:rsidR="00F16C68" w:rsidRPr="00F16C68" w:rsidRDefault="00F16C68" w:rsidP="00F16C68">
            <w:pPr>
              <w:spacing w:beforeAutospacing="1" w:after="100" w:afterAutospacing="1"/>
              <w:jc w:val="center"/>
              <w:rPr>
                <w:rFonts w:ascii="Arial" w:eastAsia="Times New Roman" w:hAnsi="Arial" w:cs="Arial"/>
                <w:b/>
                <w:sz w:val="21"/>
                <w:szCs w:val="21"/>
                <w:lang w:eastAsia="en-GB"/>
              </w:rPr>
            </w:pPr>
            <w:r w:rsidRPr="00F16C68">
              <w:rPr>
                <w:rFonts w:ascii="Arial" w:eastAsia="Times New Roman" w:hAnsi="Arial" w:cs="Arial"/>
                <w:b/>
                <w:sz w:val="21"/>
                <w:szCs w:val="21"/>
                <w:lang w:eastAsia="en-GB"/>
              </w:rPr>
              <w:t>Rating</w:t>
            </w:r>
          </w:p>
        </w:tc>
        <w:tc>
          <w:tcPr>
            <w:tcW w:w="1701" w:type="dxa"/>
            <w:shd w:val="clear" w:color="auto" w:fill="D9D9D9" w:themeFill="background1" w:themeFillShade="D9"/>
            <w:vAlign w:val="center"/>
          </w:tcPr>
          <w:p w:rsidR="00F16C68" w:rsidRPr="00F16C68" w:rsidRDefault="00F16C68" w:rsidP="00F16C68">
            <w:pPr>
              <w:spacing w:beforeAutospacing="1" w:after="100" w:afterAutospacing="1"/>
              <w:jc w:val="center"/>
              <w:rPr>
                <w:rFonts w:ascii="Arial" w:eastAsia="Times New Roman" w:hAnsi="Arial" w:cs="Arial"/>
                <w:b/>
                <w:sz w:val="21"/>
                <w:szCs w:val="21"/>
                <w:lang w:eastAsia="en-GB"/>
              </w:rPr>
            </w:pPr>
            <w:r w:rsidRPr="00F16C68">
              <w:rPr>
                <w:rFonts w:ascii="Arial" w:eastAsia="Times New Roman" w:hAnsi="Arial" w:cs="Arial"/>
                <w:b/>
                <w:sz w:val="21"/>
                <w:szCs w:val="21"/>
                <w:lang w:eastAsia="en-GB"/>
              </w:rPr>
              <w:t>Likelihood</w:t>
            </w:r>
          </w:p>
        </w:tc>
        <w:tc>
          <w:tcPr>
            <w:tcW w:w="6237" w:type="dxa"/>
            <w:shd w:val="clear" w:color="auto" w:fill="D9D9D9" w:themeFill="background1" w:themeFillShade="D9"/>
            <w:vAlign w:val="center"/>
          </w:tcPr>
          <w:p w:rsidR="00F16C68" w:rsidRPr="00F16C68" w:rsidRDefault="00F16C68" w:rsidP="00F16C68">
            <w:pPr>
              <w:spacing w:beforeAutospacing="1" w:after="100" w:afterAutospacing="1"/>
              <w:jc w:val="center"/>
              <w:rPr>
                <w:rFonts w:ascii="Arial" w:eastAsia="Times New Roman" w:hAnsi="Arial" w:cs="Arial"/>
                <w:b/>
                <w:sz w:val="21"/>
                <w:szCs w:val="21"/>
                <w:lang w:eastAsia="en-GB"/>
              </w:rPr>
            </w:pPr>
            <w:r w:rsidRPr="00F16C68">
              <w:rPr>
                <w:rFonts w:ascii="Arial" w:eastAsia="Times New Roman" w:hAnsi="Arial" w:cs="Arial"/>
                <w:b/>
                <w:sz w:val="21"/>
                <w:szCs w:val="21"/>
                <w:lang w:eastAsia="en-GB"/>
              </w:rPr>
              <w:t>Definition</w:t>
            </w:r>
          </w:p>
        </w:tc>
      </w:tr>
      <w:tr w:rsidR="00F16C68" w:rsidTr="00F16C68">
        <w:trPr>
          <w:trHeight w:val="737"/>
        </w:trPr>
        <w:tc>
          <w:tcPr>
            <w:tcW w:w="1129" w:type="dxa"/>
            <w:vAlign w:val="center"/>
          </w:tcPr>
          <w:p w:rsidR="00F16C68" w:rsidRDefault="00F16C68" w:rsidP="00F16C68">
            <w:pPr>
              <w:spacing w:beforeAutospacing="1" w:after="100" w:afterAutospacing="1"/>
              <w:jc w:val="center"/>
              <w:rPr>
                <w:rFonts w:ascii="Arial" w:eastAsia="Times New Roman" w:hAnsi="Arial" w:cs="Arial"/>
                <w:sz w:val="21"/>
                <w:szCs w:val="21"/>
                <w:lang w:eastAsia="en-GB"/>
              </w:rPr>
            </w:pPr>
            <w:r>
              <w:rPr>
                <w:rFonts w:ascii="Arial" w:eastAsia="Times New Roman" w:hAnsi="Arial" w:cs="Arial"/>
                <w:sz w:val="21"/>
                <w:szCs w:val="21"/>
                <w:lang w:eastAsia="en-GB"/>
              </w:rPr>
              <w:t>1</w:t>
            </w:r>
          </w:p>
        </w:tc>
        <w:tc>
          <w:tcPr>
            <w:tcW w:w="1701" w:type="dxa"/>
            <w:vAlign w:val="center"/>
          </w:tcPr>
          <w:p w:rsidR="00F16C68" w:rsidRDefault="00F16C68" w:rsidP="00F16C68">
            <w:pPr>
              <w:spacing w:beforeAutospacing="1" w:after="100" w:afterAutospacing="1"/>
              <w:jc w:val="center"/>
              <w:rPr>
                <w:rFonts w:ascii="Arial" w:eastAsia="Times New Roman" w:hAnsi="Arial" w:cs="Arial"/>
                <w:sz w:val="21"/>
                <w:szCs w:val="21"/>
                <w:lang w:eastAsia="en-GB"/>
              </w:rPr>
            </w:pPr>
            <w:r>
              <w:rPr>
                <w:rFonts w:ascii="Arial" w:eastAsia="Times New Roman" w:hAnsi="Arial" w:cs="Arial"/>
                <w:sz w:val="21"/>
                <w:szCs w:val="21"/>
                <w:lang w:eastAsia="en-GB"/>
              </w:rPr>
              <w:t>Unlikely</w:t>
            </w:r>
          </w:p>
        </w:tc>
        <w:tc>
          <w:tcPr>
            <w:tcW w:w="6237" w:type="dxa"/>
            <w:vAlign w:val="center"/>
          </w:tcPr>
          <w:p w:rsidR="00F16C68" w:rsidRDefault="00F16C68" w:rsidP="00F16C68">
            <w:pPr>
              <w:spacing w:beforeAutospacing="1" w:after="100" w:afterAutospacing="1"/>
              <w:jc w:val="center"/>
              <w:rPr>
                <w:rFonts w:ascii="Arial" w:eastAsia="Times New Roman" w:hAnsi="Arial" w:cs="Arial"/>
                <w:sz w:val="21"/>
                <w:szCs w:val="21"/>
                <w:lang w:eastAsia="en-GB"/>
              </w:rPr>
            </w:pPr>
            <w:r>
              <w:rPr>
                <w:rFonts w:ascii="Arial" w:eastAsia="Times New Roman" w:hAnsi="Arial" w:cs="Arial"/>
                <w:sz w:val="21"/>
                <w:szCs w:val="21"/>
                <w:lang w:eastAsia="en-GB"/>
              </w:rPr>
              <w:t>Not Expected to occur</w:t>
            </w:r>
          </w:p>
        </w:tc>
      </w:tr>
      <w:tr w:rsidR="00F16C68" w:rsidTr="00F16C68">
        <w:trPr>
          <w:trHeight w:val="737"/>
        </w:trPr>
        <w:tc>
          <w:tcPr>
            <w:tcW w:w="1129" w:type="dxa"/>
            <w:vAlign w:val="center"/>
          </w:tcPr>
          <w:p w:rsidR="00F16C68" w:rsidRDefault="00F16C68" w:rsidP="00F16C68">
            <w:pPr>
              <w:spacing w:beforeAutospacing="1" w:after="100" w:afterAutospacing="1"/>
              <w:jc w:val="center"/>
              <w:rPr>
                <w:rFonts w:ascii="Arial" w:eastAsia="Times New Roman" w:hAnsi="Arial" w:cs="Arial"/>
                <w:sz w:val="21"/>
                <w:szCs w:val="21"/>
                <w:lang w:eastAsia="en-GB"/>
              </w:rPr>
            </w:pPr>
            <w:r>
              <w:rPr>
                <w:rFonts w:ascii="Arial" w:eastAsia="Times New Roman" w:hAnsi="Arial" w:cs="Arial"/>
                <w:sz w:val="21"/>
                <w:szCs w:val="21"/>
                <w:lang w:eastAsia="en-GB"/>
              </w:rPr>
              <w:t>2</w:t>
            </w:r>
          </w:p>
        </w:tc>
        <w:tc>
          <w:tcPr>
            <w:tcW w:w="1701" w:type="dxa"/>
            <w:vAlign w:val="center"/>
          </w:tcPr>
          <w:p w:rsidR="00F16C68" w:rsidRDefault="00F16C68" w:rsidP="00F16C68">
            <w:pPr>
              <w:spacing w:beforeAutospacing="1" w:after="100" w:afterAutospacing="1"/>
              <w:jc w:val="center"/>
              <w:rPr>
                <w:rFonts w:ascii="Arial" w:eastAsia="Times New Roman" w:hAnsi="Arial" w:cs="Arial"/>
                <w:sz w:val="21"/>
                <w:szCs w:val="21"/>
                <w:lang w:eastAsia="en-GB"/>
              </w:rPr>
            </w:pPr>
            <w:r>
              <w:rPr>
                <w:rFonts w:ascii="Arial" w:eastAsia="Times New Roman" w:hAnsi="Arial" w:cs="Arial"/>
                <w:sz w:val="21"/>
                <w:szCs w:val="21"/>
                <w:lang w:eastAsia="en-GB"/>
              </w:rPr>
              <w:t>Possible</w:t>
            </w:r>
          </w:p>
        </w:tc>
        <w:tc>
          <w:tcPr>
            <w:tcW w:w="6237" w:type="dxa"/>
            <w:vAlign w:val="center"/>
          </w:tcPr>
          <w:p w:rsidR="00F16C68" w:rsidRDefault="00F16C68" w:rsidP="00F16C68">
            <w:pPr>
              <w:spacing w:beforeAutospacing="1" w:after="100" w:afterAutospacing="1"/>
              <w:jc w:val="center"/>
              <w:rPr>
                <w:rFonts w:ascii="Arial" w:eastAsia="Times New Roman" w:hAnsi="Arial" w:cs="Arial"/>
                <w:sz w:val="21"/>
                <w:szCs w:val="21"/>
                <w:lang w:eastAsia="en-GB"/>
              </w:rPr>
            </w:pPr>
            <w:r>
              <w:rPr>
                <w:rFonts w:ascii="Arial" w:eastAsia="Times New Roman" w:hAnsi="Arial" w:cs="Arial"/>
                <w:sz w:val="21"/>
                <w:szCs w:val="21"/>
                <w:lang w:eastAsia="en-GB"/>
              </w:rPr>
              <w:t>Could Occur Occasionally</w:t>
            </w:r>
          </w:p>
        </w:tc>
      </w:tr>
      <w:tr w:rsidR="00F16C68" w:rsidTr="00F16C68">
        <w:trPr>
          <w:trHeight w:val="737"/>
        </w:trPr>
        <w:tc>
          <w:tcPr>
            <w:tcW w:w="1129" w:type="dxa"/>
            <w:vAlign w:val="center"/>
          </w:tcPr>
          <w:p w:rsidR="00F16C68" w:rsidRDefault="00F16C68" w:rsidP="00F16C68">
            <w:pPr>
              <w:spacing w:beforeAutospacing="1" w:after="100" w:afterAutospacing="1"/>
              <w:jc w:val="center"/>
              <w:rPr>
                <w:rFonts w:ascii="Arial" w:eastAsia="Times New Roman" w:hAnsi="Arial" w:cs="Arial"/>
                <w:sz w:val="21"/>
                <w:szCs w:val="21"/>
                <w:lang w:eastAsia="en-GB"/>
              </w:rPr>
            </w:pPr>
            <w:r>
              <w:rPr>
                <w:rFonts w:ascii="Arial" w:eastAsia="Times New Roman" w:hAnsi="Arial" w:cs="Arial"/>
                <w:sz w:val="21"/>
                <w:szCs w:val="21"/>
                <w:lang w:eastAsia="en-GB"/>
              </w:rPr>
              <w:t>3</w:t>
            </w:r>
          </w:p>
        </w:tc>
        <w:tc>
          <w:tcPr>
            <w:tcW w:w="1701" w:type="dxa"/>
            <w:vAlign w:val="center"/>
          </w:tcPr>
          <w:p w:rsidR="00F16C68" w:rsidRDefault="00F16C68" w:rsidP="00F16C68">
            <w:pPr>
              <w:spacing w:beforeAutospacing="1" w:after="100" w:afterAutospacing="1"/>
              <w:jc w:val="center"/>
              <w:rPr>
                <w:rFonts w:ascii="Arial" w:eastAsia="Times New Roman" w:hAnsi="Arial" w:cs="Arial"/>
                <w:sz w:val="21"/>
                <w:szCs w:val="21"/>
                <w:lang w:eastAsia="en-GB"/>
              </w:rPr>
            </w:pPr>
            <w:r>
              <w:rPr>
                <w:rFonts w:ascii="Arial" w:eastAsia="Times New Roman" w:hAnsi="Arial" w:cs="Arial"/>
                <w:sz w:val="21"/>
                <w:szCs w:val="21"/>
                <w:lang w:eastAsia="en-GB"/>
              </w:rPr>
              <w:t>Likely</w:t>
            </w:r>
          </w:p>
        </w:tc>
        <w:tc>
          <w:tcPr>
            <w:tcW w:w="6237" w:type="dxa"/>
            <w:vAlign w:val="center"/>
          </w:tcPr>
          <w:p w:rsidR="00F16C68" w:rsidRDefault="00F16C68" w:rsidP="00F16C68">
            <w:pPr>
              <w:spacing w:beforeAutospacing="1" w:after="100" w:afterAutospacing="1"/>
              <w:jc w:val="center"/>
              <w:rPr>
                <w:rFonts w:ascii="Arial" w:eastAsia="Times New Roman" w:hAnsi="Arial" w:cs="Arial"/>
                <w:sz w:val="21"/>
                <w:szCs w:val="21"/>
                <w:lang w:eastAsia="en-GB"/>
              </w:rPr>
            </w:pPr>
            <w:r>
              <w:rPr>
                <w:rFonts w:ascii="Arial" w:eastAsia="Times New Roman" w:hAnsi="Arial" w:cs="Arial"/>
                <w:sz w:val="21"/>
                <w:szCs w:val="21"/>
                <w:lang w:eastAsia="en-GB"/>
              </w:rPr>
              <w:t>Expected to occur or has occurred</w:t>
            </w:r>
          </w:p>
        </w:tc>
      </w:tr>
    </w:tbl>
    <w:p w:rsidR="00F16C68" w:rsidRDefault="00F16C68" w:rsidP="00964C00">
      <w:pPr>
        <w:spacing w:beforeAutospacing="1" w:after="100" w:afterAutospacing="1" w:line="240" w:lineRule="auto"/>
        <w:rPr>
          <w:rFonts w:ascii="Arial" w:eastAsia="Times New Roman" w:hAnsi="Arial" w:cs="Arial"/>
          <w:sz w:val="21"/>
          <w:szCs w:val="21"/>
          <w:lang w:eastAsia="en-GB"/>
        </w:rPr>
      </w:pPr>
    </w:p>
    <w:tbl>
      <w:tblPr>
        <w:tblStyle w:val="TableGrid"/>
        <w:tblW w:w="9067" w:type="dxa"/>
        <w:tblLook w:val="04A0" w:firstRow="1" w:lastRow="0" w:firstColumn="1" w:lastColumn="0" w:noHBand="0" w:noVBand="1"/>
      </w:tblPr>
      <w:tblGrid>
        <w:gridCol w:w="1129"/>
        <w:gridCol w:w="1701"/>
        <w:gridCol w:w="6237"/>
      </w:tblGrid>
      <w:tr w:rsidR="00F16C68" w:rsidTr="00F16C68">
        <w:trPr>
          <w:trHeight w:val="567"/>
        </w:trPr>
        <w:tc>
          <w:tcPr>
            <w:tcW w:w="1129" w:type="dxa"/>
            <w:shd w:val="clear" w:color="auto" w:fill="D9D9D9" w:themeFill="background1" w:themeFillShade="D9"/>
            <w:vAlign w:val="center"/>
          </w:tcPr>
          <w:p w:rsidR="00F16C68" w:rsidRPr="00F16C68" w:rsidRDefault="00F16C68" w:rsidP="003378A1">
            <w:pPr>
              <w:spacing w:beforeAutospacing="1" w:after="100" w:afterAutospacing="1"/>
              <w:jc w:val="center"/>
              <w:rPr>
                <w:rFonts w:ascii="Arial" w:eastAsia="Times New Roman" w:hAnsi="Arial" w:cs="Arial"/>
                <w:b/>
                <w:sz w:val="21"/>
                <w:szCs w:val="21"/>
                <w:lang w:eastAsia="en-GB"/>
              </w:rPr>
            </w:pPr>
            <w:r w:rsidRPr="00F16C68">
              <w:rPr>
                <w:rFonts w:ascii="Arial" w:eastAsia="Times New Roman" w:hAnsi="Arial" w:cs="Arial"/>
                <w:b/>
                <w:sz w:val="21"/>
                <w:szCs w:val="21"/>
                <w:lang w:eastAsia="en-GB"/>
              </w:rPr>
              <w:t>Rating</w:t>
            </w:r>
          </w:p>
        </w:tc>
        <w:tc>
          <w:tcPr>
            <w:tcW w:w="1701" w:type="dxa"/>
            <w:shd w:val="clear" w:color="auto" w:fill="D9D9D9" w:themeFill="background1" w:themeFillShade="D9"/>
            <w:vAlign w:val="center"/>
          </w:tcPr>
          <w:p w:rsidR="00F16C68" w:rsidRPr="00F16C68" w:rsidRDefault="00F16C68" w:rsidP="003378A1">
            <w:pPr>
              <w:spacing w:beforeAutospacing="1" w:after="100" w:afterAutospacing="1"/>
              <w:jc w:val="center"/>
              <w:rPr>
                <w:rFonts w:ascii="Arial" w:eastAsia="Times New Roman" w:hAnsi="Arial" w:cs="Arial"/>
                <w:b/>
                <w:sz w:val="21"/>
                <w:szCs w:val="21"/>
                <w:lang w:eastAsia="en-GB"/>
              </w:rPr>
            </w:pPr>
            <w:r w:rsidRPr="00F16C68">
              <w:rPr>
                <w:rFonts w:ascii="Arial" w:eastAsia="Times New Roman" w:hAnsi="Arial" w:cs="Arial"/>
                <w:b/>
                <w:sz w:val="21"/>
                <w:szCs w:val="21"/>
                <w:lang w:eastAsia="en-GB"/>
              </w:rPr>
              <w:t xml:space="preserve">Impact </w:t>
            </w:r>
          </w:p>
        </w:tc>
        <w:tc>
          <w:tcPr>
            <w:tcW w:w="6237" w:type="dxa"/>
            <w:shd w:val="clear" w:color="auto" w:fill="D9D9D9" w:themeFill="background1" w:themeFillShade="D9"/>
            <w:vAlign w:val="center"/>
          </w:tcPr>
          <w:p w:rsidR="00F16C68" w:rsidRPr="00F16C68" w:rsidRDefault="00F16C68" w:rsidP="003378A1">
            <w:pPr>
              <w:spacing w:beforeAutospacing="1" w:after="100" w:afterAutospacing="1"/>
              <w:jc w:val="center"/>
              <w:rPr>
                <w:rFonts w:ascii="Arial" w:eastAsia="Times New Roman" w:hAnsi="Arial" w:cs="Arial"/>
                <w:b/>
                <w:sz w:val="21"/>
                <w:szCs w:val="21"/>
                <w:lang w:eastAsia="en-GB"/>
              </w:rPr>
            </w:pPr>
            <w:r w:rsidRPr="00F16C68">
              <w:rPr>
                <w:rFonts w:ascii="Arial" w:eastAsia="Times New Roman" w:hAnsi="Arial" w:cs="Arial"/>
                <w:b/>
                <w:sz w:val="21"/>
                <w:szCs w:val="21"/>
                <w:lang w:eastAsia="en-GB"/>
              </w:rPr>
              <w:t>Definition</w:t>
            </w:r>
          </w:p>
        </w:tc>
      </w:tr>
      <w:tr w:rsidR="00F16C68" w:rsidTr="00F16C68">
        <w:trPr>
          <w:trHeight w:val="737"/>
        </w:trPr>
        <w:tc>
          <w:tcPr>
            <w:tcW w:w="1129" w:type="dxa"/>
            <w:vAlign w:val="center"/>
          </w:tcPr>
          <w:p w:rsidR="00F16C68" w:rsidRDefault="00F16C68" w:rsidP="003378A1">
            <w:pPr>
              <w:spacing w:beforeAutospacing="1" w:after="100" w:afterAutospacing="1"/>
              <w:jc w:val="center"/>
              <w:rPr>
                <w:rFonts w:ascii="Arial" w:eastAsia="Times New Roman" w:hAnsi="Arial" w:cs="Arial"/>
                <w:sz w:val="21"/>
                <w:szCs w:val="21"/>
                <w:lang w:eastAsia="en-GB"/>
              </w:rPr>
            </w:pPr>
            <w:r>
              <w:rPr>
                <w:rFonts w:ascii="Arial" w:eastAsia="Times New Roman" w:hAnsi="Arial" w:cs="Arial"/>
                <w:sz w:val="21"/>
                <w:szCs w:val="21"/>
                <w:lang w:eastAsia="en-GB"/>
              </w:rPr>
              <w:t>1</w:t>
            </w:r>
          </w:p>
        </w:tc>
        <w:tc>
          <w:tcPr>
            <w:tcW w:w="1701" w:type="dxa"/>
            <w:vAlign w:val="center"/>
          </w:tcPr>
          <w:p w:rsidR="00F16C68" w:rsidRDefault="00F16C68" w:rsidP="00F16C68">
            <w:pPr>
              <w:spacing w:beforeAutospacing="1" w:after="100" w:afterAutospacing="1"/>
              <w:jc w:val="center"/>
              <w:rPr>
                <w:rFonts w:ascii="Arial" w:eastAsia="Times New Roman" w:hAnsi="Arial" w:cs="Arial"/>
                <w:sz w:val="21"/>
                <w:szCs w:val="21"/>
                <w:lang w:eastAsia="en-GB"/>
              </w:rPr>
            </w:pPr>
            <w:r w:rsidRPr="00F16C68">
              <w:rPr>
                <w:rFonts w:ascii="Arial" w:eastAsia="Times New Roman" w:hAnsi="Arial" w:cs="Arial"/>
                <w:sz w:val="21"/>
                <w:szCs w:val="21"/>
                <w:lang w:eastAsia="en-GB"/>
              </w:rPr>
              <w:t>Minor</w:t>
            </w:r>
          </w:p>
        </w:tc>
        <w:tc>
          <w:tcPr>
            <w:tcW w:w="6237" w:type="dxa"/>
            <w:vAlign w:val="center"/>
          </w:tcPr>
          <w:p w:rsidR="00F16C68" w:rsidRDefault="00F16C68" w:rsidP="00F16C68">
            <w:pPr>
              <w:spacing w:beforeAutospacing="1" w:after="100" w:afterAutospacing="1"/>
              <w:jc w:val="center"/>
              <w:rPr>
                <w:rFonts w:ascii="Arial" w:eastAsia="Times New Roman" w:hAnsi="Arial" w:cs="Arial"/>
                <w:sz w:val="21"/>
                <w:szCs w:val="21"/>
                <w:lang w:eastAsia="en-GB"/>
              </w:rPr>
            </w:pPr>
            <w:r w:rsidRPr="00F16C68">
              <w:rPr>
                <w:rFonts w:ascii="Arial" w:eastAsia="Times New Roman" w:hAnsi="Arial" w:cs="Arial"/>
                <w:sz w:val="21"/>
                <w:szCs w:val="21"/>
                <w:lang w:eastAsia="en-GB"/>
              </w:rPr>
              <w:t>Short-lived impact requiring basic support</w:t>
            </w:r>
          </w:p>
        </w:tc>
      </w:tr>
      <w:tr w:rsidR="00F16C68" w:rsidTr="00F16C68">
        <w:trPr>
          <w:trHeight w:val="737"/>
        </w:trPr>
        <w:tc>
          <w:tcPr>
            <w:tcW w:w="1129" w:type="dxa"/>
            <w:vAlign w:val="center"/>
          </w:tcPr>
          <w:p w:rsidR="00F16C68" w:rsidRDefault="00F16C68" w:rsidP="003378A1">
            <w:pPr>
              <w:spacing w:beforeAutospacing="1" w:after="100" w:afterAutospacing="1"/>
              <w:jc w:val="center"/>
              <w:rPr>
                <w:rFonts w:ascii="Arial" w:eastAsia="Times New Roman" w:hAnsi="Arial" w:cs="Arial"/>
                <w:sz w:val="21"/>
                <w:szCs w:val="21"/>
                <w:lang w:eastAsia="en-GB"/>
              </w:rPr>
            </w:pPr>
            <w:r>
              <w:rPr>
                <w:rFonts w:ascii="Arial" w:eastAsia="Times New Roman" w:hAnsi="Arial" w:cs="Arial"/>
                <w:sz w:val="21"/>
                <w:szCs w:val="21"/>
                <w:lang w:eastAsia="en-GB"/>
              </w:rPr>
              <w:t>2</w:t>
            </w:r>
          </w:p>
        </w:tc>
        <w:tc>
          <w:tcPr>
            <w:tcW w:w="1701" w:type="dxa"/>
            <w:vAlign w:val="center"/>
          </w:tcPr>
          <w:p w:rsidR="00F16C68" w:rsidRDefault="00F16C68" w:rsidP="00F16C68">
            <w:pPr>
              <w:spacing w:beforeAutospacing="1" w:after="100" w:afterAutospacing="1"/>
              <w:jc w:val="center"/>
              <w:rPr>
                <w:rFonts w:ascii="Arial" w:eastAsia="Times New Roman" w:hAnsi="Arial" w:cs="Arial"/>
                <w:sz w:val="21"/>
                <w:szCs w:val="21"/>
                <w:lang w:eastAsia="en-GB"/>
              </w:rPr>
            </w:pPr>
            <w:r w:rsidRPr="00F16C68">
              <w:rPr>
                <w:rFonts w:ascii="Arial" w:eastAsia="Times New Roman" w:hAnsi="Arial" w:cs="Arial"/>
                <w:sz w:val="21"/>
                <w:szCs w:val="21"/>
                <w:lang w:eastAsia="en-GB"/>
              </w:rPr>
              <w:t>Moderate</w:t>
            </w:r>
          </w:p>
        </w:tc>
        <w:tc>
          <w:tcPr>
            <w:tcW w:w="6237" w:type="dxa"/>
            <w:vAlign w:val="center"/>
          </w:tcPr>
          <w:p w:rsidR="00F16C68" w:rsidRDefault="00F16C68" w:rsidP="00F16C68">
            <w:pPr>
              <w:spacing w:beforeAutospacing="1" w:after="100" w:afterAutospacing="1"/>
              <w:jc w:val="center"/>
              <w:rPr>
                <w:rFonts w:ascii="Arial" w:eastAsia="Times New Roman" w:hAnsi="Arial" w:cs="Arial"/>
                <w:sz w:val="21"/>
                <w:szCs w:val="21"/>
                <w:lang w:eastAsia="en-GB"/>
              </w:rPr>
            </w:pPr>
            <w:r w:rsidRPr="00F16C68">
              <w:rPr>
                <w:rFonts w:ascii="Arial" w:eastAsia="Times New Roman" w:hAnsi="Arial" w:cs="Arial"/>
                <w:sz w:val="21"/>
                <w:szCs w:val="21"/>
                <w:lang w:eastAsia="en-GB"/>
              </w:rPr>
              <w:t>Medical treatment, significant distress or disruption</w:t>
            </w:r>
          </w:p>
        </w:tc>
      </w:tr>
      <w:tr w:rsidR="00F16C68" w:rsidTr="00F16C68">
        <w:trPr>
          <w:trHeight w:val="737"/>
        </w:trPr>
        <w:tc>
          <w:tcPr>
            <w:tcW w:w="1129" w:type="dxa"/>
            <w:vAlign w:val="center"/>
          </w:tcPr>
          <w:p w:rsidR="00F16C68" w:rsidRDefault="00F16C68" w:rsidP="003378A1">
            <w:pPr>
              <w:spacing w:beforeAutospacing="1" w:after="100" w:afterAutospacing="1"/>
              <w:jc w:val="center"/>
              <w:rPr>
                <w:rFonts w:ascii="Arial" w:eastAsia="Times New Roman" w:hAnsi="Arial" w:cs="Arial"/>
                <w:sz w:val="21"/>
                <w:szCs w:val="21"/>
                <w:lang w:eastAsia="en-GB"/>
              </w:rPr>
            </w:pPr>
            <w:r>
              <w:rPr>
                <w:rFonts w:ascii="Arial" w:eastAsia="Times New Roman" w:hAnsi="Arial" w:cs="Arial"/>
                <w:sz w:val="21"/>
                <w:szCs w:val="21"/>
                <w:lang w:eastAsia="en-GB"/>
              </w:rPr>
              <w:t>3</w:t>
            </w:r>
          </w:p>
        </w:tc>
        <w:tc>
          <w:tcPr>
            <w:tcW w:w="1701" w:type="dxa"/>
            <w:vAlign w:val="center"/>
          </w:tcPr>
          <w:p w:rsidR="00F16C68" w:rsidRDefault="00F16C68" w:rsidP="00F16C68">
            <w:pPr>
              <w:spacing w:beforeAutospacing="1" w:after="100" w:afterAutospacing="1"/>
              <w:jc w:val="center"/>
              <w:rPr>
                <w:rFonts w:ascii="Arial" w:eastAsia="Times New Roman" w:hAnsi="Arial" w:cs="Arial"/>
                <w:sz w:val="21"/>
                <w:szCs w:val="21"/>
                <w:lang w:eastAsia="en-GB"/>
              </w:rPr>
            </w:pPr>
            <w:r w:rsidRPr="00F16C68">
              <w:rPr>
                <w:rFonts w:ascii="Arial" w:eastAsia="Times New Roman" w:hAnsi="Arial" w:cs="Arial"/>
                <w:sz w:val="21"/>
                <w:szCs w:val="21"/>
                <w:lang w:eastAsia="en-GB"/>
              </w:rPr>
              <w:t>Major</w:t>
            </w:r>
          </w:p>
        </w:tc>
        <w:tc>
          <w:tcPr>
            <w:tcW w:w="6237" w:type="dxa"/>
            <w:vAlign w:val="center"/>
          </w:tcPr>
          <w:p w:rsidR="00F16C68" w:rsidRDefault="00F16C68" w:rsidP="00F16C68">
            <w:pPr>
              <w:spacing w:beforeAutospacing="1" w:after="100" w:afterAutospacing="1"/>
              <w:jc w:val="center"/>
              <w:rPr>
                <w:rFonts w:ascii="Arial" w:eastAsia="Times New Roman" w:hAnsi="Arial" w:cs="Arial"/>
                <w:sz w:val="21"/>
                <w:szCs w:val="21"/>
                <w:lang w:eastAsia="en-GB"/>
              </w:rPr>
            </w:pPr>
            <w:r w:rsidRPr="00F16C68">
              <w:rPr>
                <w:rFonts w:ascii="Arial" w:eastAsia="Times New Roman" w:hAnsi="Arial" w:cs="Arial"/>
                <w:sz w:val="21"/>
                <w:szCs w:val="21"/>
                <w:lang w:eastAsia="en-GB"/>
              </w:rPr>
              <w:t>Anaphylaxis, life-threatening reaction, serious harm or significant safeguarding impact</w:t>
            </w:r>
          </w:p>
        </w:tc>
      </w:tr>
    </w:tbl>
    <w:p w:rsidR="00F16C68" w:rsidRDefault="00F16C68" w:rsidP="00964C00">
      <w:pPr>
        <w:spacing w:beforeAutospacing="1" w:after="100" w:afterAutospacing="1" w:line="240" w:lineRule="auto"/>
        <w:rPr>
          <w:rFonts w:ascii="Arial" w:eastAsia="Times New Roman" w:hAnsi="Arial" w:cs="Arial"/>
          <w:sz w:val="21"/>
          <w:szCs w:val="21"/>
          <w:lang w:eastAsia="en-GB"/>
        </w:rPr>
      </w:pPr>
    </w:p>
    <w:tbl>
      <w:tblPr>
        <w:tblStyle w:val="TableGrid"/>
        <w:tblW w:w="9067" w:type="dxa"/>
        <w:tblLook w:val="04A0" w:firstRow="1" w:lastRow="0" w:firstColumn="1" w:lastColumn="0" w:noHBand="0" w:noVBand="1"/>
      </w:tblPr>
      <w:tblGrid>
        <w:gridCol w:w="1129"/>
        <w:gridCol w:w="1701"/>
        <w:gridCol w:w="6237"/>
      </w:tblGrid>
      <w:tr w:rsidR="00F16C68" w:rsidTr="00F16C68">
        <w:trPr>
          <w:trHeight w:val="567"/>
        </w:trPr>
        <w:tc>
          <w:tcPr>
            <w:tcW w:w="1129" w:type="dxa"/>
            <w:shd w:val="clear" w:color="auto" w:fill="D9D9D9" w:themeFill="background1" w:themeFillShade="D9"/>
            <w:vAlign w:val="center"/>
          </w:tcPr>
          <w:p w:rsidR="00F16C68" w:rsidRPr="00F16C68" w:rsidRDefault="00F16C68" w:rsidP="003378A1">
            <w:pPr>
              <w:spacing w:beforeAutospacing="1" w:after="100" w:afterAutospacing="1"/>
              <w:jc w:val="center"/>
              <w:rPr>
                <w:rFonts w:ascii="Arial" w:eastAsia="Times New Roman" w:hAnsi="Arial" w:cs="Arial"/>
                <w:b/>
                <w:sz w:val="21"/>
                <w:szCs w:val="21"/>
                <w:lang w:eastAsia="en-GB"/>
              </w:rPr>
            </w:pPr>
            <w:r w:rsidRPr="00F16C68">
              <w:rPr>
                <w:rFonts w:ascii="Arial" w:eastAsia="Times New Roman" w:hAnsi="Arial" w:cs="Arial"/>
                <w:b/>
                <w:sz w:val="21"/>
                <w:szCs w:val="21"/>
                <w:lang w:eastAsia="en-GB"/>
              </w:rPr>
              <w:t>Rating</w:t>
            </w:r>
          </w:p>
        </w:tc>
        <w:tc>
          <w:tcPr>
            <w:tcW w:w="1701" w:type="dxa"/>
            <w:shd w:val="clear" w:color="auto" w:fill="D9D9D9" w:themeFill="background1" w:themeFillShade="D9"/>
            <w:vAlign w:val="center"/>
          </w:tcPr>
          <w:p w:rsidR="00F16C68" w:rsidRPr="00F16C68" w:rsidRDefault="00F16C68" w:rsidP="003378A1">
            <w:pPr>
              <w:spacing w:beforeAutospacing="1" w:after="100" w:afterAutospacing="1"/>
              <w:jc w:val="center"/>
              <w:rPr>
                <w:rFonts w:ascii="Arial" w:eastAsia="Times New Roman" w:hAnsi="Arial" w:cs="Arial"/>
                <w:b/>
                <w:sz w:val="21"/>
                <w:szCs w:val="21"/>
                <w:lang w:eastAsia="en-GB"/>
              </w:rPr>
            </w:pPr>
            <w:r w:rsidRPr="00F16C68">
              <w:rPr>
                <w:rFonts w:ascii="Arial" w:eastAsia="Times New Roman" w:hAnsi="Arial" w:cs="Arial"/>
                <w:b/>
                <w:sz w:val="21"/>
                <w:szCs w:val="21"/>
                <w:lang w:eastAsia="en-GB"/>
              </w:rPr>
              <w:t xml:space="preserve">Risk Level </w:t>
            </w:r>
          </w:p>
        </w:tc>
        <w:tc>
          <w:tcPr>
            <w:tcW w:w="6237" w:type="dxa"/>
            <w:shd w:val="clear" w:color="auto" w:fill="D9D9D9" w:themeFill="background1" w:themeFillShade="D9"/>
            <w:vAlign w:val="center"/>
          </w:tcPr>
          <w:p w:rsidR="00F16C68" w:rsidRPr="00F16C68" w:rsidRDefault="00F16C68" w:rsidP="003378A1">
            <w:pPr>
              <w:spacing w:beforeAutospacing="1" w:after="100" w:afterAutospacing="1"/>
              <w:jc w:val="center"/>
              <w:rPr>
                <w:rFonts w:ascii="Arial" w:eastAsia="Times New Roman" w:hAnsi="Arial" w:cs="Arial"/>
                <w:b/>
                <w:sz w:val="21"/>
                <w:szCs w:val="21"/>
                <w:lang w:eastAsia="en-GB"/>
              </w:rPr>
            </w:pPr>
            <w:r w:rsidRPr="00F16C68">
              <w:rPr>
                <w:rFonts w:ascii="Arial" w:eastAsia="Times New Roman" w:hAnsi="Arial" w:cs="Arial"/>
                <w:b/>
                <w:sz w:val="21"/>
                <w:szCs w:val="21"/>
                <w:lang w:eastAsia="en-GB"/>
              </w:rPr>
              <w:t>Definition</w:t>
            </w:r>
          </w:p>
        </w:tc>
      </w:tr>
      <w:tr w:rsidR="00F16C68" w:rsidTr="00F16C68">
        <w:trPr>
          <w:trHeight w:val="737"/>
        </w:trPr>
        <w:tc>
          <w:tcPr>
            <w:tcW w:w="1129" w:type="dxa"/>
            <w:vAlign w:val="center"/>
          </w:tcPr>
          <w:p w:rsidR="00F16C68" w:rsidRDefault="00F16C68" w:rsidP="003378A1">
            <w:pPr>
              <w:spacing w:beforeAutospacing="1" w:after="100" w:afterAutospacing="1"/>
              <w:jc w:val="center"/>
              <w:rPr>
                <w:rFonts w:ascii="Arial" w:eastAsia="Times New Roman" w:hAnsi="Arial" w:cs="Arial"/>
                <w:sz w:val="21"/>
                <w:szCs w:val="21"/>
                <w:lang w:eastAsia="en-GB"/>
              </w:rPr>
            </w:pPr>
            <w:r>
              <w:rPr>
                <w:rFonts w:ascii="Arial" w:eastAsia="Times New Roman" w:hAnsi="Arial" w:cs="Arial"/>
                <w:sz w:val="21"/>
                <w:szCs w:val="21"/>
                <w:lang w:eastAsia="en-GB"/>
              </w:rPr>
              <w:t>1-2</w:t>
            </w:r>
          </w:p>
        </w:tc>
        <w:tc>
          <w:tcPr>
            <w:tcW w:w="1701" w:type="dxa"/>
            <w:vAlign w:val="center"/>
          </w:tcPr>
          <w:p w:rsidR="00F16C68" w:rsidRDefault="00F16C68" w:rsidP="003378A1">
            <w:pPr>
              <w:spacing w:beforeAutospacing="1" w:after="100" w:afterAutospacing="1"/>
              <w:jc w:val="center"/>
              <w:rPr>
                <w:rFonts w:ascii="Arial" w:eastAsia="Times New Roman" w:hAnsi="Arial" w:cs="Arial"/>
                <w:sz w:val="21"/>
                <w:szCs w:val="21"/>
                <w:lang w:eastAsia="en-GB"/>
              </w:rPr>
            </w:pPr>
            <w:r>
              <w:rPr>
                <w:rFonts w:ascii="Arial" w:eastAsia="Times New Roman" w:hAnsi="Arial" w:cs="Arial"/>
                <w:sz w:val="21"/>
                <w:szCs w:val="21"/>
                <w:lang w:eastAsia="en-GB"/>
              </w:rPr>
              <w:t>Low</w:t>
            </w:r>
          </w:p>
        </w:tc>
        <w:tc>
          <w:tcPr>
            <w:tcW w:w="6237" w:type="dxa"/>
            <w:vAlign w:val="center"/>
          </w:tcPr>
          <w:p w:rsidR="00F16C68" w:rsidRDefault="00F16C68" w:rsidP="003378A1">
            <w:pPr>
              <w:spacing w:beforeAutospacing="1" w:after="100" w:afterAutospacing="1"/>
              <w:jc w:val="center"/>
              <w:rPr>
                <w:rFonts w:ascii="Arial" w:eastAsia="Times New Roman" w:hAnsi="Arial" w:cs="Arial"/>
                <w:sz w:val="21"/>
                <w:szCs w:val="21"/>
                <w:lang w:eastAsia="en-GB"/>
              </w:rPr>
            </w:pPr>
            <w:r w:rsidRPr="00F16C68">
              <w:rPr>
                <w:rFonts w:ascii="Arial" w:eastAsia="Times New Roman" w:hAnsi="Arial" w:cs="Arial"/>
                <w:sz w:val="21"/>
                <w:szCs w:val="21"/>
                <w:lang w:eastAsia="en-GB"/>
              </w:rPr>
              <w:t>Controls are appropriate. Maintain and monitor them.</w:t>
            </w:r>
          </w:p>
        </w:tc>
      </w:tr>
      <w:tr w:rsidR="00F16C68" w:rsidTr="00F16C68">
        <w:trPr>
          <w:trHeight w:val="737"/>
        </w:trPr>
        <w:tc>
          <w:tcPr>
            <w:tcW w:w="1129" w:type="dxa"/>
            <w:vAlign w:val="center"/>
          </w:tcPr>
          <w:p w:rsidR="00F16C68" w:rsidRDefault="00F16C68" w:rsidP="003378A1">
            <w:pPr>
              <w:spacing w:beforeAutospacing="1" w:after="100" w:afterAutospacing="1"/>
              <w:jc w:val="center"/>
              <w:rPr>
                <w:rFonts w:ascii="Arial" w:eastAsia="Times New Roman" w:hAnsi="Arial" w:cs="Arial"/>
                <w:sz w:val="21"/>
                <w:szCs w:val="21"/>
                <w:lang w:eastAsia="en-GB"/>
              </w:rPr>
            </w:pPr>
            <w:r>
              <w:rPr>
                <w:rFonts w:ascii="Arial" w:eastAsia="Times New Roman" w:hAnsi="Arial" w:cs="Arial"/>
                <w:sz w:val="21"/>
                <w:szCs w:val="21"/>
                <w:lang w:eastAsia="en-GB"/>
              </w:rPr>
              <w:t>3-4</w:t>
            </w:r>
          </w:p>
        </w:tc>
        <w:tc>
          <w:tcPr>
            <w:tcW w:w="1701" w:type="dxa"/>
            <w:vAlign w:val="center"/>
          </w:tcPr>
          <w:p w:rsidR="00F16C68" w:rsidRDefault="00F16C68" w:rsidP="003378A1">
            <w:pPr>
              <w:spacing w:beforeAutospacing="1" w:after="100" w:afterAutospacing="1"/>
              <w:jc w:val="center"/>
              <w:rPr>
                <w:rFonts w:ascii="Arial" w:eastAsia="Times New Roman" w:hAnsi="Arial" w:cs="Arial"/>
                <w:sz w:val="21"/>
                <w:szCs w:val="21"/>
                <w:lang w:eastAsia="en-GB"/>
              </w:rPr>
            </w:pPr>
            <w:r>
              <w:rPr>
                <w:rFonts w:ascii="Arial" w:eastAsia="Times New Roman" w:hAnsi="Arial" w:cs="Arial"/>
                <w:sz w:val="21"/>
                <w:szCs w:val="21"/>
                <w:lang w:eastAsia="en-GB"/>
              </w:rPr>
              <w:t>Medium</w:t>
            </w:r>
          </w:p>
        </w:tc>
        <w:tc>
          <w:tcPr>
            <w:tcW w:w="6237" w:type="dxa"/>
            <w:vAlign w:val="center"/>
          </w:tcPr>
          <w:p w:rsidR="00F16C68" w:rsidRDefault="00F16C68" w:rsidP="003378A1">
            <w:pPr>
              <w:spacing w:beforeAutospacing="1" w:after="100" w:afterAutospacing="1"/>
              <w:jc w:val="center"/>
              <w:rPr>
                <w:rFonts w:ascii="Arial" w:eastAsia="Times New Roman" w:hAnsi="Arial" w:cs="Arial"/>
                <w:sz w:val="21"/>
                <w:szCs w:val="21"/>
                <w:lang w:eastAsia="en-GB"/>
              </w:rPr>
            </w:pPr>
            <w:r w:rsidRPr="00F16C68">
              <w:rPr>
                <w:rFonts w:ascii="Arial" w:eastAsia="Times New Roman" w:hAnsi="Arial" w:cs="Arial"/>
                <w:sz w:val="21"/>
                <w:szCs w:val="21"/>
                <w:lang w:eastAsia="en-GB"/>
              </w:rPr>
              <w:t>Ensure controls are robust, clearly communicated and regularly monitored.</w:t>
            </w:r>
          </w:p>
        </w:tc>
      </w:tr>
      <w:tr w:rsidR="00F16C68" w:rsidTr="00F16C68">
        <w:trPr>
          <w:trHeight w:val="737"/>
        </w:trPr>
        <w:tc>
          <w:tcPr>
            <w:tcW w:w="1129" w:type="dxa"/>
            <w:vAlign w:val="center"/>
          </w:tcPr>
          <w:p w:rsidR="00F16C68" w:rsidRDefault="00F16C68" w:rsidP="003378A1">
            <w:pPr>
              <w:spacing w:beforeAutospacing="1" w:after="100" w:afterAutospacing="1"/>
              <w:jc w:val="center"/>
              <w:rPr>
                <w:rFonts w:ascii="Arial" w:eastAsia="Times New Roman" w:hAnsi="Arial" w:cs="Arial"/>
                <w:sz w:val="21"/>
                <w:szCs w:val="21"/>
                <w:lang w:eastAsia="en-GB"/>
              </w:rPr>
            </w:pPr>
            <w:r>
              <w:rPr>
                <w:rFonts w:ascii="Arial" w:eastAsia="Times New Roman" w:hAnsi="Arial" w:cs="Arial"/>
                <w:sz w:val="21"/>
                <w:szCs w:val="21"/>
                <w:lang w:eastAsia="en-GB"/>
              </w:rPr>
              <w:t>6-9</w:t>
            </w:r>
          </w:p>
        </w:tc>
        <w:tc>
          <w:tcPr>
            <w:tcW w:w="1701" w:type="dxa"/>
            <w:vAlign w:val="center"/>
          </w:tcPr>
          <w:p w:rsidR="00F16C68" w:rsidRDefault="00F16C68" w:rsidP="003378A1">
            <w:pPr>
              <w:spacing w:beforeAutospacing="1" w:after="100" w:afterAutospacing="1"/>
              <w:jc w:val="center"/>
              <w:rPr>
                <w:rFonts w:ascii="Arial" w:eastAsia="Times New Roman" w:hAnsi="Arial" w:cs="Arial"/>
                <w:sz w:val="21"/>
                <w:szCs w:val="21"/>
                <w:lang w:eastAsia="en-GB"/>
              </w:rPr>
            </w:pPr>
            <w:r>
              <w:rPr>
                <w:rFonts w:ascii="Arial" w:eastAsia="Times New Roman" w:hAnsi="Arial" w:cs="Arial"/>
                <w:sz w:val="21"/>
                <w:szCs w:val="21"/>
                <w:lang w:eastAsia="en-GB"/>
              </w:rPr>
              <w:t>High</w:t>
            </w:r>
          </w:p>
        </w:tc>
        <w:tc>
          <w:tcPr>
            <w:tcW w:w="6237" w:type="dxa"/>
            <w:vAlign w:val="center"/>
          </w:tcPr>
          <w:p w:rsidR="00F16C68" w:rsidRDefault="00F16C68" w:rsidP="003378A1">
            <w:pPr>
              <w:spacing w:beforeAutospacing="1" w:after="100" w:afterAutospacing="1"/>
              <w:jc w:val="center"/>
              <w:rPr>
                <w:rFonts w:ascii="Arial" w:eastAsia="Times New Roman" w:hAnsi="Arial" w:cs="Arial"/>
                <w:sz w:val="21"/>
                <w:szCs w:val="21"/>
                <w:lang w:eastAsia="en-GB"/>
              </w:rPr>
            </w:pPr>
            <w:r w:rsidRPr="00F16C68">
              <w:rPr>
                <w:rFonts w:ascii="Arial" w:eastAsia="Times New Roman" w:hAnsi="Arial" w:cs="Arial"/>
                <w:sz w:val="21"/>
                <w:szCs w:val="21"/>
                <w:lang w:eastAsia="en-GB"/>
              </w:rPr>
              <w:t>The activity or arrangement must not proceed until the risk has been reduced or arrangements have been reviewed and formally authorised.</w:t>
            </w:r>
          </w:p>
        </w:tc>
      </w:tr>
    </w:tbl>
    <w:p w:rsidR="00D52EE8" w:rsidRDefault="00D52EE8"/>
    <w:p w:rsidR="00F16C68" w:rsidRDefault="00F16C68"/>
    <w:p w:rsidR="00F16C68" w:rsidRDefault="00F16C68">
      <w:pPr>
        <w:sectPr w:rsidR="00F16C68" w:rsidSect="00C169E4">
          <w:pgSz w:w="11906" w:h="16838" w:code="9"/>
          <w:pgMar w:top="1440" w:right="1440" w:bottom="1440" w:left="1440" w:header="708" w:footer="708" w:gutter="0"/>
          <w:pgBorders w:offsetFrom="page">
            <w:top w:val="single" w:sz="12" w:space="24" w:color="002060"/>
            <w:left w:val="single" w:sz="12" w:space="24" w:color="002060"/>
            <w:bottom w:val="single" w:sz="12" w:space="24" w:color="002060"/>
            <w:right w:val="single" w:sz="12" w:space="24" w:color="002060"/>
          </w:pgBorders>
          <w:cols w:space="708"/>
          <w:docGrid w:linePitch="360"/>
        </w:sectPr>
      </w:pPr>
    </w:p>
    <w:p w:rsidR="00F16C68" w:rsidRDefault="00F16C68" w:rsidP="00F16C68">
      <w:pPr>
        <w:jc w:val="center"/>
        <w:rPr>
          <w:rFonts w:ascii="Arial" w:eastAsia="Times New Roman" w:hAnsi="Arial" w:cs="Arial"/>
          <w:b/>
          <w:sz w:val="24"/>
          <w:szCs w:val="24"/>
          <w:lang w:eastAsia="en-GB"/>
        </w:rPr>
      </w:pPr>
    </w:p>
    <w:p w:rsidR="00312D6B" w:rsidRPr="00F16C68" w:rsidRDefault="00F16C68" w:rsidP="00F16C68">
      <w:pPr>
        <w:jc w:val="center"/>
        <w:rPr>
          <w:rFonts w:ascii="Arial" w:eastAsia="Times New Roman" w:hAnsi="Arial" w:cs="Arial"/>
          <w:b/>
          <w:sz w:val="24"/>
          <w:szCs w:val="24"/>
          <w:lang w:eastAsia="en-GB"/>
        </w:rPr>
      </w:pPr>
      <w:r w:rsidRPr="00F16C68">
        <w:rPr>
          <w:rFonts w:ascii="Arial" w:eastAsia="Times New Roman" w:hAnsi="Arial" w:cs="Arial"/>
          <w:b/>
          <w:sz w:val="24"/>
          <w:szCs w:val="24"/>
          <w:lang w:eastAsia="en-GB"/>
        </w:rPr>
        <w:t xml:space="preserve">Generic </w:t>
      </w:r>
      <w:r w:rsidR="0053785A">
        <w:rPr>
          <w:rFonts w:ascii="Arial" w:eastAsia="Times New Roman" w:hAnsi="Arial" w:cs="Arial"/>
          <w:b/>
          <w:sz w:val="24"/>
          <w:szCs w:val="24"/>
          <w:lang w:eastAsia="en-GB"/>
        </w:rPr>
        <w:t xml:space="preserve">Allergy &amp; Anaphylaxis </w:t>
      </w:r>
      <w:bookmarkStart w:id="0" w:name="_GoBack"/>
      <w:bookmarkEnd w:id="0"/>
      <w:r w:rsidRPr="00F16C68">
        <w:rPr>
          <w:rFonts w:ascii="Arial" w:eastAsia="Times New Roman" w:hAnsi="Arial" w:cs="Arial"/>
          <w:b/>
          <w:sz w:val="24"/>
          <w:szCs w:val="24"/>
          <w:lang w:eastAsia="en-GB"/>
        </w:rPr>
        <w:t>Risk Assessment</w:t>
      </w:r>
    </w:p>
    <w:p w:rsidR="00F16C68" w:rsidRDefault="00F16C68">
      <w:pPr>
        <w:rPr>
          <w:rFonts w:ascii="Times New Roman" w:eastAsia="Times New Roman" w:hAnsi="Times New Roman" w:cs="Times New Roman"/>
          <w:sz w:val="24"/>
          <w:szCs w:val="24"/>
          <w:lang w:eastAsia="en-GB"/>
        </w:rPr>
      </w:pPr>
    </w:p>
    <w:tbl>
      <w:tblPr>
        <w:tblStyle w:val="TableGrid"/>
        <w:tblW w:w="0" w:type="auto"/>
        <w:tblInd w:w="421" w:type="dxa"/>
        <w:tblLook w:val="04A0" w:firstRow="1" w:lastRow="0" w:firstColumn="1" w:lastColumn="0" w:noHBand="0" w:noVBand="1"/>
      </w:tblPr>
      <w:tblGrid>
        <w:gridCol w:w="2623"/>
        <w:gridCol w:w="3044"/>
        <w:gridCol w:w="1278"/>
        <w:gridCol w:w="6663"/>
        <w:gridCol w:w="1092"/>
      </w:tblGrid>
      <w:tr w:rsidR="00F16C68" w:rsidTr="00F16C68">
        <w:trPr>
          <w:trHeight w:val="745"/>
          <w:tblHeader/>
        </w:trPr>
        <w:tc>
          <w:tcPr>
            <w:tcW w:w="2623" w:type="dxa"/>
            <w:shd w:val="clear" w:color="auto" w:fill="D9D9D9" w:themeFill="background1" w:themeFillShade="D9"/>
            <w:vAlign w:val="center"/>
          </w:tcPr>
          <w:p w:rsidR="00F16C68" w:rsidRPr="00312D6B" w:rsidRDefault="00F16C68" w:rsidP="003378A1">
            <w:pPr>
              <w:jc w:val="center"/>
              <w:rPr>
                <w:rFonts w:ascii="Arial" w:hAnsi="Arial" w:cs="Arial"/>
                <w:b/>
                <w:sz w:val="21"/>
                <w:szCs w:val="21"/>
              </w:rPr>
            </w:pPr>
            <w:r w:rsidRPr="00312D6B">
              <w:rPr>
                <w:rFonts w:ascii="Arial" w:hAnsi="Arial" w:cs="Arial"/>
                <w:b/>
                <w:sz w:val="21"/>
                <w:szCs w:val="21"/>
              </w:rPr>
              <w:t>Hazard/Area of concern</w:t>
            </w:r>
          </w:p>
        </w:tc>
        <w:tc>
          <w:tcPr>
            <w:tcW w:w="3044" w:type="dxa"/>
            <w:shd w:val="clear" w:color="auto" w:fill="D9D9D9" w:themeFill="background1" w:themeFillShade="D9"/>
            <w:vAlign w:val="center"/>
          </w:tcPr>
          <w:p w:rsidR="00F16C68" w:rsidRPr="00312D6B" w:rsidRDefault="00F16C68" w:rsidP="003378A1">
            <w:pPr>
              <w:jc w:val="center"/>
              <w:rPr>
                <w:rFonts w:ascii="Arial" w:hAnsi="Arial" w:cs="Arial"/>
                <w:b/>
                <w:sz w:val="21"/>
                <w:szCs w:val="21"/>
              </w:rPr>
            </w:pPr>
            <w:r w:rsidRPr="00312D6B">
              <w:rPr>
                <w:rFonts w:ascii="Arial" w:hAnsi="Arial" w:cs="Arial"/>
                <w:b/>
                <w:sz w:val="21"/>
                <w:szCs w:val="21"/>
              </w:rPr>
              <w:t>Who may be harmed and how?</w:t>
            </w:r>
          </w:p>
        </w:tc>
        <w:tc>
          <w:tcPr>
            <w:tcW w:w="1278" w:type="dxa"/>
            <w:shd w:val="clear" w:color="auto" w:fill="D9D9D9" w:themeFill="background1" w:themeFillShade="D9"/>
            <w:vAlign w:val="center"/>
          </w:tcPr>
          <w:p w:rsidR="00F16C68" w:rsidRPr="00312D6B" w:rsidRDefault="00F16C68" w:rsidP="003378A1">
            <w:pPr>
              <w:jc w:val="center"/>
              <w:rPr>
                <w:rFonts w:ascii="Arial" w:hAnsi="Arial" w:cs="Arial"/>
                <w:b/>
                <w:sz w:val="21"/>
                <w:szCs w:val="21"/>
              </w:rPr>
            </w:pPr>
            <w:r w:rsidRPr="00312D6B">
              <w:rPr>
                <w:rFonts w:ascii="Arial" w:hAnsi="Arial" w:cs="Arial"/>
                <w:b/>
                <w:sz w:val="21"/>
                <w:szCs w:val="21"/>
              </w:rPr>
              <w:t xml:space="preserve">Initial Risk Rating  </w:t>
            </w:r>
          </w:p>
        </w:tc>
        <w:tc>
          <w:tcPr>
            <w:tcW w:w="6663" w:type="dxa"/>
            <w:shd w:val="clear" w:color="auto" w:fill="D9D9D9" w:themeFill="background1" w:themeFillShade="D9"/>
            <w:vAlign w:val="center"/>
          </w:tcPr>
          <w:p w:rsidR="00F16C68" w:rsidRPr="00312D6B" w:rsidRDefault="00F16C68" w:rsidP="003378A1">
            <w:pPr>
              <w:jc w:val="center"/>
              <w:rPr>
                <w:rFonts w:ascii="Arial" w:hAnsi="Arial" w:cs="Arial"/>
                <w:b/>
                <w:sz w:val="21"/>
                <w:szCs w:val="21"/>
              </w:rPr>
            </w:pPr>
            <w:r w:rsidRPr="00312D6B">
              <w:rPr>
                <w:rFonts w:ascii="Arial" w:hAnsi="Arial" w:cs="Arial"/>
                <w:b/>
                <w:sz w:val="21"/>
                <w:szCs w:val="21"/>
              </w:rPr>
              <w:t xml:space="preserve">Agreed Control Measures </w:t>
            </w:r>
          </w:p>
        </w:tc>
        <w:tc>
          <w:tcPr>
            <w:tcW w:w="1092" w:type="dxa"/>
            <w:shd w:val="clear" w:color="auto" w:fill="D9D9D9" w:themeFill="background1" w:themeFillShade="D9"/>
            <w:vAlign w:val="center"/>
          </w:tcPr>
          <w:p w:rsidR="00F16C68" w:rsidRPr="00312D6B" w:rsidRDefault="00F16C68" w:rsidP="003378A1">
            <w:pPr>
              <w:jc w:val="center"/>
              <w:rPr>
                <w:rFonts w:ascii="Arial" w:hAnsi="Arial" w:cs="Arial"/>
                <w:b/>
                <w:sz w:val="21"/>
                <w:szCs w:val="21"/>
              </w:rPr>
            </w:pPr>
            <w:r w:rsidRPr="00312D6B">
              <w:rPr>
                <w:rFonts w:ascii="Arial" w:hAnsi="Arial" w:cs="Arial"/>
                <w:b/>
                <w:sz w:val="21"/>
                <w:szCs w:val="21"/>
              </w:rPr>
              <w:t xml:space="preserve">Residual Risk Rating </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Allergy information is unknown, incomplete or out of date</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A pupil may be exposed to a known allergen or receive an inappropriate response because their allergy, medication or current arrangements are not known.</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Allergy information will be obtained on admission and when a need is identified and reviewed at least annually. Parents/carers are required to notify school of changes to diagnosis, medication or clinical advice. The school will maintain an up-to-date allergy register and Individual Allergy Care Plans where required.</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Changes in need or transition arrangements are not communicated</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Important information may be lost when a pupil changes class, teacher, key stage, provision, club or when clinical advice changes.</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Allergy information and individual arrangements will be reviewed at transition points and following any significant change. Relevant staff will be briefed before assuming responsibility for the pupil. Updated information will replace superseded information promptly.</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Individual Allergy Care Plan or clinical Allergy Action Plan is absent, inaccessible or not followed</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Staff may not know the pupil-specific preventative or emergency arrangements, resulting in exposure or delayed treatment.</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Pupils requiring individual arrangements will have an Individual Allergy Care Plan. Where a healthcare professional has issued an Allergy Action Plan, it will be attached and followed. Plans will be stored securely but remain readily accessible to staff who need them.</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Relevant staff or providers are unaware of a pupil’s allergy</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A pupil may be exposed to an allergen, inadequately supervised or receive delayed emergency treatment.</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Relevant teaching, support, lunchtime, catering, wraparound, club and visit staff will receive the information necessary to keep the pupil safe. Information will be shared on a need-to-know basis and updated when circumstances change.</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Pupil receives an incorrect meal or snack</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A pupil with a food allergy may ingest a known allergen and experience an allergic reaction or anaphylaxis.</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Clear arrangements will identify pupils requiring special diets. Allergy information will be available to catering and supervising staff. Meals will be checked before serving and substitutions must not be made without appropriate allergen checks.</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A known allergen is present in food supplied by school</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A pupil may ingest an allergen contained within an ingredient, product or substituted item.</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Catering arrangements will comply with allergen-information requirements and agreed special-diet procedures. Ingredient and allergen information will be checked and available. Products and substitutions will be checked before provision to a pupil with known food allergy.</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lastRenderedPageBreak/>
              <w:t>Cross-contact during food preparation, handling or service</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Food which would otherwise be suitable may become contaminated with an allergen and cause a reaction.</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Catering and food-handling procedures will minimise cross-contact through appropriate preparation, utensils, equipment, storage, cleaning and serving arrangements. Staff involved in food preparation will follow the provider’s allergen controls.</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Food brought into school introduces an allergen</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Packed lunches, snacks, treats or food brought in by pupils, parents, staff or visitors may expose another pupil to a known allergen.</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The school will communicate allergy-aware expectations to the school community. Food brought into school will be managed in accordance with school arrangements. Where a pupil requires additional controls, these will be recorded in their Individual Allergy Care Plan.</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Pupils share or exchange food, drink, bottles, utensils or containers</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A pupil may unintentionally ingest or come into contact with a known allergen.</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Pupils will be taught not to share or exchange food, drinks, bottles, cutlery or food containers. Appropriate supervision will be provided during meals and snacks according to pupils’ age and individual needs.</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Inadequate supervision during meals or snacks</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Particularly younger or vulnerable pupils may eat unsafe food, share food or fail to communicate early symptoms.</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Eating arrangements will provide appropriate adult supervision. Staff supervising pupils with significant allergies will know their individual arrangements, how to summon assistance and where emergency medication is located. Enhanced supervision will be recorded in the pupil’s plan where required.</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Inadequate hand hygiene, cleaning or management of food residue</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Allergen residue may remain on hands, tables, equipment or surfaces and expose a pupil through ingestion or contact.</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Appropriate handwashing and cleaning arrangements will be maintained. Eating areas, tables and relevant equipment will be cleaned appropriately and food spillages or debris removed promptly. Additional individual cleaning arrangements will be recorded where necessary.</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Allergens are introduced through lessons, cooking, sensory play, rewards, celebrations or events</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A pupil may ingest, touch or otherwise encounter a known allergen during an activity outside normal mealtimes.</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Staff will consider allergy risks when planning activities. Ingredients, food products and other materials will be checked before use. Appropriate alternatives or reasonable adjustments will be provided where an activity presents a foreseeable risk.</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Exposure to non-food allergens</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A pupil may experience an allergic reaction following contact with animals, plants, insect stings, latex, cosmetics, cleaning products or other identified allergens.</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Known non-food allergens and relevant exposure routes will be recorded within the pupil’s Individual Allergy Care Plan. Staff will consider these risks when planning activities and apply reasonable avoidance measures and adjustments.</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lastRenderedPageBreak/>
              <w:t>Symptoms of an allergic reaction or anaphylaxis are not recognised promptly</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Treatment may be delayed and the pupil’s condition may deteriorate rapidly, resulting in serious harm.</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Staff will receive allergy-awareness and emergency-response training appropriate to their role. Staff will know common signs of allergic reaction and anaphylaxis and understand that symptoms may vary. The pupil’s clinical Allergy Action Plan will be followed where available.</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Co-existing asthma is not recognised or appropriately managed</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Respiratory symptoms may be misinterpreted or poorly controlled asthma may complicate an allergic reaction.</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Co-existing asthma will be identified through individual planning. Relevant asthma medication will remain accessible in accordance with the pupil’s arrangements. Staff will follow the appropriate clinical plan and treat suspected anaphylaxis as an emergency rather than assuming respiratory symptoms are solely asthma-related.</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Emergency medication cannot be accessed quickly</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Administration of adrenaline or other prescribed emergency medication may be delayed during a potentially life-threatening reaction.</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Emergency medication will be stored safely but remain readily accessible and must not be locked away where this would delay treatment. Staff will know its location. Medication will accompany the pupil where necessary during activities and visits.</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Incorrect or delayed response to suspected anaphylaxis</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Delay or incorrect action may result in rapid deterioration, serious injury or death.</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Suspected anaphylaxis will be treated as a medical emergency. Staff will follow the pupil’s clinical Allergy Action Plan where available, administer adrenaline immediately where indicated and call 999. The pupil will not be left alone. Emergency action will not be delayed while seeking parental permission or further confirmation where treatment is indicated.</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Pupil experiences a first episode of anaphylaxis without a previous diagnosis</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A pupil without a known allergy may develop a life-threatening reaction without an individual plan or prescribed medication.</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Whole-school allergy training will ensure staff understand that anaphylaxis can occur without a previous diagnosis. Staff will summon emergency assistance and follow the school’s emergency procedures. School-held spare adrenaline devices will be managed and used in accordance with applicable guidance and policy.</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Staff do not have sufficient allergy awareness or emergency-response training</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A reaction may not be recognised, exposure controls may not be followed or treatment may be delayed.</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Relevant staff will receive allergy-awareness and emergency-response training at induction and at least annually. Training records will be maintained. Staff requiring pupil-specific information or training will receive this before taking responsibility for the pupil.</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Temporary, agency, lunchtime, wraparound, catering, club or volunteer staff are inadequately briefed</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Staff unfamiliar with the pupil or school procedures may fail to implement preventative or emergency arrangements.</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Appropriate briefing arrangements will ensure relevant temporary and additional staff know which pupils require allergy support, the controls they must follow, how to summon help and how to access emergency plans and medication.</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lastRenderedPageBreak/>
              <w:t>Educational visit, off-site activity or transport arrangements do not adequately manage allergy risks</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The pupil may be exposed to an allergen away from normal school controls or may not have timely access to medication, trained staff or emergency services.</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Allergy needs will be considered during visit planning and risk assessment. Required medication and relevant plans will accompany the pupil. Food, staffing, transport and emergency communication arrangements will be checked before departure. A specific assessment will be undertaken where an individual pupil’s needs require one.</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Allergy-related anxiety or distress is not recognised or supported</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The pupil may experience significant anxiety, reduced participation, difficulty eating at school, avoidance of activities or school absence.</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2 = 4 Medium</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Pupil voice will be sought and concerns taken seriously. Consistent safety arrangements will be explained to the pupil and family. Reasonable adjustments and individual wellbeing support will be recorded within the Allergy Care Plan where required. Pupils will not be unnecessarily excluded from school activities because of their allergy.</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2 = 2 Low</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Bullying, teasing, threats or deliberate exposure involving an allergen</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A pupil may suffer emotional harm or deliberate exposure leading to an allergic reaction or anaphylaxis.</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Allergy-related bullying, threats, deliberate contamination or intentional exposure will be treated seriously under the school’s behaviour and safeguarding arrangements. Pupils will receive age-appropriate allergy awareness education. Incidents will be reported and escalated appropriately.</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Allergy controls unnecessarily restrict participation or fail to provide reasonable adjustments</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A pupil may be excluded from lessons, meals, trips, clubs, celebrations or wider school life because of their allergy.</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2 = 4 Medium</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Risk will be managed proportionately. The school will seek to enable full participation through reasonable adjustments rather than unnecessary exclusion. Individual arrangements will be agreed with the pupil and family and, where appropriate, relevant professionals.</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2 = 2 Low</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Allergic reaction, exposure or near miss is not recorded, reported or reviewed</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Unsafe arrangements may remain in place and opportunities to prevent recurrence may be missed.</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3 = 6 High</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Allergic reactions, suspected exposures, emergency medication use and relevant near misses will be recorded promptly. Parents/carers and the appropriate school lead will be informed. Incidents will be reviewed to identify learning and determine whether plans, controls, training or wider procedures require amendment.</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3 = 3 Medium</w:t>
            </w:r>
          </w:p>
        </w:tc>
      </w:tr>
      <w:tr w:rsidR="00F16C68" w:rsidTr="00F16C68">
        <w:trPr>
          <w:trHeight w:val="1247"/>
        </w:trPr>
        <w:tc>
          <w:tcPr>
            <w:tcW w:w="2623" w:type="dxa"/>
            <w:shd w:val="clear" w:color="auto" w:fill="F2F2F2" w:themeFill="background1" w:themeFillShade="F2"/>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Sensitive allergy information is not shared appropriately</w:t>
            </w:r>
          </w:p>
        </w:tc>
        <w:tc>
          <w:tcPr>
            <w:tcW w:w="3044"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Essential safety information may fail to reach staff who need it, or confidential medical information may be unnecessarily disclosed.</w:t>
            </w:r>
          </w:p>
        </w:tc>
        <w:tc>
          <w:tcPr>
            <w:tcW w:w="1278"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2 × 2 = 4 Medium</w:t>
            </w:r>
          </w:p>
        </w:tc>
        <w:tc>
          <w:tcPr>
            <w:tcW w:w="6663"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sz w:val="20"/>
                <w:szCs w:val="20"/>
                <w:lang w:eastAsia="en-GB"/>
              </w:rPr>
              <w:t>Relevant allergy information will be stored securely and shared with staff and providers on a need-to-know basis where necessary to safeguard the pupil. Information will not be discussed or displayed unnecessarily. Parents/carers will be informed how information is stored and used.</w:t>
            </w:r>
          </w:p>
        </w:tc>
        <w:tc>
          <w:tcPr>
            <w:tcW w:w="1092" w:type="dxa"/>
            <w:shd w:val="clear" w:color="auto" w:fill="auto"/>
            <w:vAlign w:val="center"/>
          </w:tcPr>
          <w:p w:rsidR="00F16C68" w:rsidRPr="00F16C68" w:rsidRDefault="00F16C68" w:rsidP="00F16C68">
            <w:pPr>
              <w:rPr>
                <w:rFonts w:ascii="Arial" w:eastAsia="Times New Roman" w:hAnsi="Arial" w:cs="Arial"/>
                <w:sz w:val="20"/>
                <w:szCs w:val="20"/>
                <w:lang w:eastAsia="en-GB"/>
              </w:rPr>
            </w:pPr>
            <w:r w:rsidRPr="00F16C68">
              <w:rPr>
                <w:rFonts w:ascii="Arial" w:eastAsia="Times New Roman" w:hAnsi="Arial" w:cs="Arial"/>
                <w:b/>
                <w:bCs/>
                <w:sz w:val="20"/>
                <w:szCs w:val="20"/>
                <w:lang w:eastAsia="en-GB"/>
              </w:rPr>
              <w:t>1 × 2 = 2 Low</w:t>
            </w:r>
          </w:p>
        </w:tc>
      </w:tr>
    </w:tbl>
    <w:p w:rsidR="00F16C68" w:rsidRDefault="00F16C68">
      <w:pPr>
        <w:rPr>
          <w:rFonts w:ascii="Times New Roman" w:eastAsia="Times New Roman" w:hAnsi="Times New Roman" w:cs="Times New Roman"/>
          <w:sz w:val="24"/>
          <w:szCs w:val="24"/>
          <w:lang w:eastAsia="en-GB"/>
        </w:rPr>
      </w:pPr>
    </w:p>
    <w:p w:rsidR="00F16C68" w:rsidRPr="00142AC8" w:rsidRDefault="00F16C68">
      <w:pPr>
        <w:rPr>
          <w:rFonts w:ascii="Times New Roman" w:eastAsia="Times New Roman" w:hAnsi="Times New Roman" w:cs="Times New Roman"/>
          <w:sz w:val="24"/>
          <w:szCs w:val="24"/>
          <w:lang w:eastAsia="en-GB"/>
        </w:rPr>
      </w:pPr>
    </w:p>
    <w:sectPr w:rsidR="00F16C68" w:rsidRPr="00142AC8" w:rsidSect="00F16C68">
      <w:pgSz w:w="16838" w:h="11906" w:orient="landscape"/>
      <w:pgMar w:top="1135" w:right="720" w:bottom="720" w:left="720" w:header="708" w:footer="708" w:gutter="0"/>
      <w:pgBorders w:offsetFrom="page">
        <w:top w:val="single" w:sz="12" w:space="24" w:color="002060"/>
        <w:left w:val="single" w:sz="12" w:space="24" w:color="002060"/>
        <w:bottom w:val="single" w:sz="12" w:space="24" w:color="002060"/>
        <w:right w:val="single" w:sz="12" w:space="24" w:color="00206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EB276C"/>
    <w:multiLevelType w:val="multilevel"/>
    <w:tmpl w:val="267CA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376983"/>
    <w:multiLevelType w:val="multilevel"/>
    <w:tmpl w:val="47E2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D6B"/>
    <w:rsid w:val="0011184A"/>
    <w:rsid w:val="00142AC8"/>
    <w:rsid w:val="00312D6B"/>
    <w:rsid w:val="00403359"/>
    <w:rsid w:val="0053785A"/>
    <w:rsid w:val="00600EB4"/>
    <w:rsid w:val="006A4530"/>
    <w:rsid w:val="00727289"/>
    <w:rsid w:val="008212FC"/>
    <w:rsid w:val="00964C00"/>
    <w:rsid w:val="00C169E4"/>
    <w:rsid w:val="00D52EE8"/>
    <w:rsid w:val="00F16C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012E8"/>
  <w15:chartTrackingRefBased/>
  <w15:docId w15:val="{07F298E5-3BC3-43E8-B6EC-6CDB0BBE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64C0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964C0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12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12D6B"/>
    <w:rPr>
      <w:b/>
      <w:bCs/>
    </w:rPr>
  </w:style>
  <w:style w:type="character" w:customStyle="1" w:styleId="Heading2Char">
    <w:name w:val="Heading 2 Char"/>
    <w:basedOn w:val="DefaultParagraphFont"/>
    <w:link w:val="Heading2"/>
    <w:uiPriority w:val="9"/>
    <w:rsid w:val="00964C00"/>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964C00"/>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964C0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C169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69E4"/>
    <w:rPr>
      <w:rFonts w:ascii="Segoe UI" w:hAnsi="Segoe UI" w:cs="Segoe UI"/>
      <w:sz w:val="18"/>
      <w:szCs w:val="18"/>
    </w:rPr>
  </w:style>
  <w:style w:type="paragraph" w:customStyle="1" w:styleId="pdq2pgselectionanchorcontainer">
    <w:name w:val="pdq2pg_selectionanchorcontainer"/>
    <w:basedOn w:val="Normal"/>
    <w:rsid w:val="00F16C6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865966">
      <w:bodyDiv w:val="1"/>
      <w:marLeft w:val="0"/>
      <w:marRight w:val="0"/>
      <w:marTop w:val="0"/>
      <w:marBottom w:val="0"/>
      <w:divBdr>
        <w:top w:val="none" w:sz="0" w:space="0" w:color="auto"/>
        <w:left w:val="none" w:sz="0" w:space="0" w:color="auto"/>
        <w:bottom w:val="none" w:sz="0" w:space="0" w:color="auto"/>
        <w:right w:val="none" w:sz="0" w:space="0" w:color="auto"/>
      </w:divBdr>
    </w:div>
    <w:div w:id="588462566">
      <w:bodyDiv w:val="1"/>
      <w:marLeft w:val="0"/>
      <w:marRight w:val="0"/>
      <w:marTop w:val="0"/>
      <w:marBottom w:val="0"/>
      <w:divBdr>
        <w:top w:val="none" w:sz="0" w:space="0" w:color="auto"/>
        <w:left w:val="none" w:sz="0" w:space="0" w:color="auto"/>
        <w:bottom w:val="none" w:sz="0" w:space="0" w:color="auto"/>
        <w:right w:val="none" w:sz="0" w:space="0" w:color="auto"/>
      </w:divBdr>
      <w:divsChild>
        <w:div w:id="1555463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0066713">
      <w:bodyDiv w:val="1"/>
      <w:marLeft w:val="0"/>
      <w:marRight w:val="0"/>
      <w:marTop w:val="0"/>
      <w:marBottom w:val="0"/>
      <w:divBdr>
        <w:top w:val="none" w:sz="0" w:space="0" w:color="auto"/>
        <w:left w:val="none" w:sz="0" w:space="0" w:color="auto"/>
        <w:bottom w:val="none" w:sz="0" w:space="0" w:color="auto"/>
        <w:right w:val="none" w:sz="0" w:space="0" w:color="auto"/>
      </w:divBdr>
    </w:div>
    <w:div w:id="758601163">
      <w:bodyDiv w:val="1"/>
      <w:marLeft w:val="0"/>
      <w:marRight w:val="0"/>
      <w:marTop w:val="0"/>
      <w:marBottom w:val="0"/>
      <w:divBdr>
        <w:top w:val="none" w:sz="0" w:space="0" w:color="auto"/>
        <w:left w:val="none" w:sz="0" w:space="0" w:color="auto"/>
        <w:bottom w:val="none" w:sz="0" w:space="0" w:color="auto"/>
        <w:right w:val="none" w:sz="0" w:space="0" w:color="auto"/>
      </w:divBdr>
    </w:div>
    <w:div w:id="873422500">
      <w:bodyDiv w:val="1"/>
      <w:marLeft w:val="0"/>
      <w:marRight w:val="0"/>
      <w:marTop w:val="0"/>
      <w:marBottom w:val="0"/>
      <w:divBdr>
        <w:top w:val="none" w:sz="0" w:space="0" w:color="auto"/>
        <w:left w:val="none" w:sz="0" w:space="0" w:color="auto"/>
        <w:bottom w:val="none" w:sz="0" w:space="0" w:color="auto"/>
        <w:right w:val="none" w:sz="0" w:space="0" w:color="auto"/>
      </w:divBdr>
    </w:div>
    <w:div w:id="954288947">
      <w:bodyDiv w:val="1"/>
      <w:marLeft w:val="0"/>
      <w:marRight w:val="0"/>
      <w:marTop w:val="0"/>
      <w:marBottom w:val="0"/>
      <w:divBdr>
        <w:top w:val="none" w:sz="0" w:space="0" w:color="auto"/>
        <w:left w:val="none" w:sz="0" w:space="0" w:color="auto"/>
        <w:bottom w:val="none" w:sz="0" w:space="0" w:color="auto"/>
        <w:right w:val="none" w:sz="0" w:space="0" w:color="auto"/>
      </w:divBdr>
    </w:div>
    <w:div w:id="1051073719">
      <w:bodyDiv w:val="1"/>
      <w:marLeft w:val="0"/>
      <w:marRight w:val="0"/>
      <w:marTop w:val="0"/>
      <w:marBottom w:val="0"/>
      <w:divBdr>
        <w:top w:val="none" w:sz="0" w:space="0" w:color="auto"/>
        <w:left w:val="none" w:sz="0" w:space="0" w:color="auto"/>
        <w:bottom w:val="none" w:sz="0" w:space="0" w:color="auto"/>
        <w:right w:val="none" w:sz="0" w:space="0" w:color="auto"/>
      </w:divBdr>
    </w:div>
    <w:div w:id="1133214819">
      <w:bodyDiv w:val="1"/>
      <w:marLeft w:val="0"/>
      <w:marRight w:val="0"/>
      <w:marTop w:val="0"/>
      <w:marBottom w:val="0"/>
      <w:divBdr>
        <w:top w:val="none" w:sz="0" w:space="0" w:color="auto"/>
        <w:left w:val="none" w:sz="0" w:space="0" w:color="auto"/>
        <w:bottom w:val="none" w:sz="0" w:space="0" w:color="auto"/>
        <w:right w:val="none" w:sz="0" w:space="0" w:color="auto"/>
      </w:divBdr>
    </w:div>
    <w:div w:id="1554077939">
      <w:bodyDiv w:val="1"/>
      <w:marLeft w:val="0"/>
      <w:marRight w:val="0"/>
      <w:marTop w:val="0"/>
      <w:marBottom w:val="0"/>
      <w:divBdr>
        <w:top w:val="none" w:sz="0" w:space="0" w:color="auto"/>
        <w:left w:val="none" w:sz="0" w:space="0" w:color="auto"/>
        <w:bottom w:val="none" w:sz="0" w:space="0" w:color="auto"/>
        <w:right w:val="none" w:sz="0" w:space="0" w:color="auto"/>
      </w:divBdr>
    </w:div>
    <w:div w:id="1648240270">
      <w:bodyDiv w:val="1"/>
      <w:marLeft w:val="0"/>
      <w:marRight w:val="0"/>
      <w:marTop w:val="0"/>
      <w:marBottom w:val="0"/>
      <w:divBdr>
        <w:top w:val="none" w:sz="0" w:space="0" w:color="auto"/>
        <w:left w:val="none" w:sz="0" w:space="0" w:color="auto"/>
        <w:bottom w:val="none" w:sz="0" w:space="0" w:color="auto"/>
        <w:right w:val="none" w:sz="0" w:space="0" w:color="auto"/>
      </w:divBdr>
    </w:div>
    <w:div w:id="1748844668">
      <w:bodyDiv w:val="1"/>
      <w:marLeft w:val="0"/>
      <w:marRight w:val="0"/>
      <w:marTop w:val="0"/>
      <w:marBottom w:val="0"/>
      <w:divBdr>
        <w:top w:val="none" w:sz="0" w:space="0" w:color="auto"/>
        <w:left w:val="none" w:sz="0" w:space="0" w:color="auto"/>
        <w:bottom w:val="none" w:sz="0" w:space="0" w:color="auto"/>
        <w:right w:val="none" w:sz="0" w:space="0" w:color="auto"/>
      </w:divBdr>
    </w:div>
    <w:div w:id="1840660446">
      <w:bodyDiv w:val="1"/>
      <w:marLeft w:val="0"/>
      <w:marRight w:val="0"/>
      <w:marTop w:val="0"/>
      <w:marBottom w:val="0"/>
      <w:divBdr>
        <w:top w:val="none" w:sz="0" w:space="0" w:color="auto"/>
        <w:left w:val="none" w:sz="0" w:space="0" w:color="auto"/>
        <w:bottom w:val="none" w:sz="0" w:space="0" w:color="auto"/>
        <w:right w:val="none" w:sz="0" w:space="0" w:color="auto"/>
      </w:divBdr>
    </w:div>
    <w:div w:id="1889486822">
      <w:bodyDiv w:val="1"/>
      <w:marLeft w:val="0"/>
      <w:marRight w:val="0"/>
      <w:marTop w:val="0"/>
      <w:marBottom w:val="0"/>
      <w:divBdr>
        <w:top w:val="none" w:sz="0" w:space="0" w:color="auto"/>
        <w:left w:val="none" w:sz="0" w:space="0" w:color="auto"/>
        <w:bottom w:val="none" w:sz="0" w:space="0" w:color="auto"/>
        <w:right w:val="none" w:sz="0" w:space="0" w:color="auto"/>
      </w:divBdr>
    </w:div>
    <w:div w:id="214384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177FA-51FB-4766-86E3-4FC247AD7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7</Pages>
  <Words>2529</Words>
  <Characters>14419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Stewart</dc:creator>
  <cp:keywords/>
  <dc:description/>
  <cp:lastModifiedBy>P Stewart</cp:lastModifiedBy>
  <cp:revision>6</cp:revision>
  <cp:lastPrinted>2026-09-11T09:43:00Z</cp:lastPrinted>
  <dcterms:created xsi:type="dcterms:W3CDTF">2026-09-07T10:18:00Z</dcterms:created>
  <dcterms:modified xsi:type="dcterms:W3CDTF">2026-09-11T10:09:00Z</dcterms:modified>
</cp:coreProperties>
</file>